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(96.5%)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(98.0%)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2026-09-27T03:24:32Z</dcterms:modified>
  <cp:category/>
</cp:coreProperties>
</file>