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1. Clinical characteristics of TCGA-COAD patients by ROCK2 expression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967"/>
        <w:gridCol w:w="2001"/>
        <w:gridCol w:w="2001"/>
        <w:gridCol w:w="2001"/>
        <w:gridCol w:w="1181"/>
      </w:tblGrid>
      <w:tr>
        <w:trPr>
          <w:trHeight w:val="460" w:hRule="auto"/>
          <w:tblHeader/>
        </w:trPr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ROCK2 expression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</w:tr>
      <w:tr>
        <w:trPr>
          <w:trHeight w:val="676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436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216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220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Age, years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68.0 [58.0, 77.0]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69.0 [58.0, 77.0]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67.5 [57.0, 77.0]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0.529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 group,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0.366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183 (42.0%)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86 (39.8%)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97 (44.1%)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253 (58.0%)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130 (60.2%)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123 (55.9%)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0.493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233 (53.4%)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119 (55.1%)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114 (51.8%)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203 (46.6%)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97 (44.9%)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106 (48.2%)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0.712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71 (16.6%)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(15.2%)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 (18.1%)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169 (39.6%)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89 (42.2%)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80 (37.0%)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127 (29.7%)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61 (28.9%)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 (30.6%)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(14.1%)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 (13.7%)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 (14.4%)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0.793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(2.8%)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74 (17.0%)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(16.2%)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 (17.7%)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299 (68.6%)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151 (69.9%)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148 (67.3%)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 (11.7%)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 (10.6%)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 (12.7%)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0.497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256 (58.7%)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128 (59.3%)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128 (58.2%)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104 (23.9%)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 (21.8%)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57 (25.9%)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76 (17.4%)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 (19.0%)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(15.9%)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0.615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322 (84.3%)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167 (85.2%)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155 (83.3%)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(15.7%)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 (14.8%)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 (16.7%)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0.639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240 (56.2%)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121 (57.3%)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119 (55.1%)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187 (43.8%)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90 (42.7%)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97 (44.9%)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0.362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179 (64.9%)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82 (62.1%)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97 (67.4%)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97 (35.1%)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 (37.9%)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 (32.6%)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Lymphovascular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0.102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241 (61.5%)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112 (57.4%)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129 (65.5%)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151 (38.5%)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83 (42.6%)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 (34.5%)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0.791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288 (76.4%)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141 (75.8%)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147 (77.0%)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89 (23.6%)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 (24.2%)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 (23.0%)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Residual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0.007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316 (86.8%)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166 (90.7%)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150 (82.9%)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(6.0%)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(5.5%)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 (6.3%)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(2.2%)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(10.5%)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Histology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0.485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Colon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373 (86.5%)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181 (85.4%)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192 (87.7%)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Colon Mucinous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58 (13.5%)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 (14.6%)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(12.3%)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0.672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Ascending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83 (19.8%)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 (22.2%)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(17.5%)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Cecum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101 (24.0%)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 (21.7%)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57 (26.3%)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Descending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(3.9%)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Hepatic Flexure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(7.9%)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Rectosigmoid Junction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Sigmoid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144 (34.3%)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67 (33.0%)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77 (35.5%)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Splenic Flexure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(1.7%)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(2.0%)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Transverse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(9.4%)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(8.8%)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Tumor free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196 (50.1%)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76 (39.8%)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120 (60.0%)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With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195 (49.9%)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115 (60.2%)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80 (40.0%)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KRAS testing performed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0.676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352 (88.0%)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172 (87.3%)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180 (88.7%)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 (12.0%)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 (12.7%)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 (11.3%)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BRAF testing performed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0.212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359 (92.8%)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174 (91.1%)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185 (94.4%)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 (7.2%)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 (8.9%)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0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Median [Q1, Q3]; n (%)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Wilcoxon rank sum test; Pearson's chi-squared test; Fisher's exact test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2026-09-27T03:24:29Z</dcterms:modified>
  <cp:category/>
</cp:coreProperties>
</file>