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[58.5,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164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(33.6%)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(72.8%)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(80.8%)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352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176 (85.4%)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176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(92.8%)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(90.0%)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 (95.7%)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2026-09-27T03:24:23Z</dcterms:modified>
  <cp:category/>
</cp:coreProperties>
</file>