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454)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(47.0%)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176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333 (83.9%)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 (56.3%)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(65.5%)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(60.1%)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297 (75.8%)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327 (85.8%)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 (86.6%)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(19.5%)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(51.5%)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368 (88.5%)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(11.5%)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375 (93.1%)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(6.9%)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2026-09-27T03:24:00Z</dcterms:modified>
  <cp:category/>
</cp:coreProperties>
</file>