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BRAF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[59.0,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64.5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(70.1%)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(85.1%)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(87.5%)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(68.0%)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(50.9%)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(49.1%)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(63.4%)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(70.6%)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(78.3%)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(87.3%)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(88.1%)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(74.4%)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(62.3%)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(51.4%)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(90.0%)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(90.3%)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 (94.2%)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(94.0%)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MMR IHC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(93.6%)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(92.4%)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(94.9%)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2026-09-27T03:24:37Z</dcterms:modified>
  <cp:category/>
</cp:coreProperties>
</file>