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KRAS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 [60.0,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(71.0%)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(83.1%)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(77.5%)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(89.9%)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(94.2%)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MMR IHC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(95.5%)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2026-09-27T03:24:53Z</dcterms:modified>
  <cp:category/>
</cp:coreProperties>
</file>