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(89.5%)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(93.2%)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2026-09-27T03:25:06Z</dcterms:modified>
  <cp:category/>
</cp:coreProperties>
</file>