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72.5]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(89.9%)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(97.1%)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MMR IHC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(96.7%)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2026-09-27T03:24:43Z</dcterms:modified>
  <cp:category/>
</cp:coreProperties>
</file>