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the TCGA-READ cohort (N = 169)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</w:tblGrid>
      <w:tr>
        <w:trPr>
          <w:trHeight w:val="4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 = 169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72.5]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(48.8%)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(51.2%)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(54.8%)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(45.2%)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(20.4%)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(15.4%)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(18.0%)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(68.3%)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(8.4%)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(52.1%)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(26.7%)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(21.2%)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(85.5%)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(14.5%)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(52.5%)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(47.5%)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(57.9%)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(42.1%)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(55.6%)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(44.4%)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(74.0%)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(26.0%)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(87.6%)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(7.6%)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(92.0%)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(30.1%)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(66.9%)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(40.7%)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(59.3%)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(90.1%)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(9.9%)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142 (94.7%)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(5.3%)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MMR IHC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(94.1%)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(5.9%)</w:t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2026-09-27T03:24:34Z</dcterms:modified>
  <cp:category/>
</cp:coreProperties>
</file>