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(84.6%)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(89.0%)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2026-09-27T19:25:39Z</dcterms:modified>
  <cp:category/>
</cp:coreProperties>
</file>