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(70.5%)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(87.5%)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(49.1%)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2026-09-27T19:25:56Z</dcterms:modified>
  <cp:category/>
</cp:coreProperties>
</file>