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(76.5%)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(89.3%)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2026-09-27T19:26:50Z</dcterms:modified>
  <cp:category/>
</cp:coreProperties>
</file>