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2.53 (1.31–4.88)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3.77 (1.97–7.20)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(1.11–3.53)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2026-09-27T21:18:31Z</dcterms:modified>
  <cp:category/>
</cp:coreProperties>
</file>