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(0.64–2.01)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(1.31–4.92)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(0.69–2.19)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3.81 (1.99–7.30)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2026-09-27T21:18:35Z</dcterms:modified>
  <cp:category/>
</cp:coreProperties>
</file>