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(0.75–2.38)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2.57 (1.33–4.97)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(0.69–2.18)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3.75 (1.95–7.21)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2026-09-27T21:18:37Z</dcterms:modified>
  <cp:category/>
</cp:coreProperties>
</file>