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(0.25–0.82)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(1.47–5.50)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(0.68–2.14)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4.74 (2.43–9.25)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(1.03–3.26)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2026-09-27T21:18:43Z</dcterms:modified>
  <cp:category/>
</cp:coreProperties>
</file>