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TCGA-COAD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(0.58–1.29)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(0.84–1.23)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 (0.93–1.94)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(0.44–0.99)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(0.66–1.13)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(0.69–1.32)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(0.82–1.83)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1.32 (0.93–1.88)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1.75 (1.17–2.63)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(1.10–1.74)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(0.41–0.93)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(0.71–1.10)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(0.39–0.90)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(0.87–1.04)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1.53 (1.00–2.36)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(0.59–1.32)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2.95 (1.92–4.53)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2.80 (1.60–4.92)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2026-09-27T21:18:48Z</dcterms:modified>
  <cp:category/>
</cp:coreProperties>
</file>