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TCGA-COAD.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68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77.4% (71.1–84.4)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67.4% (58.0–78.4)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78.4% (71.8–85.7)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62.5% (52.0–75.1)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80.1% (74.1–86.6)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68.7% (59.2–79.8)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75.6% (68.6–83.3)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59.8% (48.9–73.2)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(66.5–81.1)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61.4% (50.6–74.5)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82.6% (76.7–88.9)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(58.0–79.4)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(70.1–84.1)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64.2% (54.5–75.7)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79.4% (73.3–86.0)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65.1% (54.5–77.8)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(73.4–86.5)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68.2% (58.7–79.3)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76.4% (69.7–83.6)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61.3% (50.6–74.2)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(74.6–88.3)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(61.3–82.2)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74.7% (68.3–81.6)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57.6% (46.8–70.9)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77.7% (71.4–84.6)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63.7% (52.9–76.7)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78.3% (71.7–85.5)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65.4% (55.6–76.8)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73.6% (66.9–80.9)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57.1% (46.9–69.4)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82.2% (75.9–89.0)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72.5% (62.6–84.0)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74.3% (67.8–81.4)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58.1% (48.5–69.5)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(99.9–NR)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(74.2–88.6)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(63.3–85.1)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2026-09-27T21:18:47Z</dcterms:modified>
  <cp:category/>
</cp:coreProperties>
</file>