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TCGA-COAD. HR from Cox regression; multivariable model adjusted for age group, years, sex, pathologic stage group and pretreatment cea. Sensitivity: stratified by tss. q = Benjamini–Hochberg across exploratory genes only; the primary gene (ROCK2)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(0.41–0.93)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 (0.25–0.82)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 (0.22–0.85)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6.02 (1.76, 10.28)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(0.58–1.29)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1.19 (0.68–2.11)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1.24 (0.65–2.34)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1.16 (-3.17, 5.48)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1.52 (0.83–2.78)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1.58 (0.85–2.93)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-2.15 (-6.46, 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 (0.44–0.99)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0.58 (0.33–1.04)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 (0.35–1.26)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3.84 (-0.45, 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1.14 (0.64–2.01)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1.10 (0.60–2.03)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1.29 (-3.00, 5.58)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1.22 (0.82–1.83)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1.34 (0.75–2.38)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1.15 (0.61–2.14)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-1.18 (-5.48, 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1.75 (1.17–2.63)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2.16 (1.19–3.92)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2.02 (1.07–3.81)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-5.81 (-10.10, -1.52)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 (0.35–1.16)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0.68 (0.36–1.29)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1.06 (0.53–2.12)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 (0.03–0.53)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 (-4.11, 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(56.2–NR)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(99.9–NR)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 (0.39–0.90)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 (0.34–1.09)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0.69 (0.38–1.28)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5.10 (0.81, 9.38)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2026-09-27T21:18:47Z</dcterms:modified>
  <cp:category/>
</cp:coreProperties>
</file>