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 (0.23–2.13)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3.83 (1.05–14.03)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(0.26–2.89)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(0.52–5.06)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1.67 (0.52–5.37)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2026-09-27T21:19:04Z</dcterms:modified>
  <cp:category/>
</cp:coreProperties>
</file>