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BRAF expression, TCGA-READ (n = 103,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59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 (0.17–1.67)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3.70 (1.00–13.69)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(0.26–2.92)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1.49 (0.46–4.79)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1.78 (0.54–5.88)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2026-09-27T21:18:55Z</dcterms:modified>
  <cp:category/>
</cp:coreProperties>
</file>