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 (0.15–1.52)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3.58 (0.97–13.29)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(0.26–2.82)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(0.54–5.41)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(0.52–5.58)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2026-09-27T21:18:57Z</dcterms:modified>
  <cp:category/>
</cp:coreProperties>
</file>