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 (0.06–0.79)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3.57 (0.95–13.37)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(0.28–3.33)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1.77 (0.57–5.56)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(0.69–7.35)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2026-09-27T21:19:17Z</dcterms:modified>
  <cp:category/>
</cp:coreProperties>
</file>