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 (0.03–0.48)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4.31 (1.15–16.15)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(0.18–2.17)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(0.50–6.10)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(0.48–5.84)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2026-09-27T21:19:37Z</dcterms:modified>
  <cp:category/>
</cp:coreProperties>
</file>