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Multivariable Cox regression for overall survival: PIK3CA expression, TCGA-READ (n = 103, events = 13, EPV = 2.6; exploratory)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060"/>
        <w:gridCol w:w="1489"/>
        <w:gridCol w:w="591"/>
        <w:gridCol w:w="931"/>
        <w:gridCol w:w="1701"/>
        <w:gridCol w:w="816"/>
        <w:gridCol w:w="1136"/>
      </w:tblGrid>
      <w:tr>
        <w:trPr>
          <w:trHeight w:val="590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Variable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Level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Events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HR (95% CI)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Overall p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PIK3CA expression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Low (ref)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Reference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High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0.42 (0.13–1.41)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0.160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Age group, years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≤65 (ref)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Reference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≥66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3.43 (0.91–12.90)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Male (ref)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Reference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0.98 (0.29–3.31)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0.974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Pathologic stage group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I–II (ref)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Reference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III–IV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1.56 (0.49–4.96)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0.450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Pretreatment CEA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≤5 ng/mL (ref)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Reference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75" w:hRule="auto"/>
        </w:trPr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&gt;5 ng/mL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1.56 (0.48–5.04)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0.458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</w:tbl>
    <w:sectPr>
      <w:pgMar w:header="708" w:bottom="1417" w:top="1417" w:right="1417" w:left="1417" w:footer="708" w:gutter="0"/>
      <w:pgSz w:h="16838" w:w="11906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2026-09-27T21:19:22Z</dcterms:modified>
  <cp:category/>
</cp:coreProperties>
</file>