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 (0.11–1.53)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2.97 (0.77–11.44)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(0.27–2.93)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1.71 (0.53–5.53)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(0.40–4.43)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2026-09-27T21:19:33Z</dcterms:modified>
  <cp:category/>
</cp:coreProperties>
</file>