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TCGA-READ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(0.68–1.01)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4.50 (1.68–12.03)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(0.54–2.60)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(1.20–7.18)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(0.50–4.64)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2026-09-27T21:19:42Z</dcterms:modified>
  <cp:category/>
</cp:coreProperties>
</file>