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Overall survival by gene expression (High vs Low), TCGA-READ. HR from Cox regression; multivariable model adjusted for age group, years, sex, pathologic stage group and pretreatment cea. Sensitivity: stratified by tss. q = Benjamini–Hochberg across exploratory genes only; the primary gene (ROCK2) is reported with its unadjusted p. Time-split HRs (0–24 / &gt;24 months, adjusted) are shown only for genes whose expression term violated proportional hazards. RMST difference = High − Low restricted mean survival time up to 60 months.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831"/>
        <w:gridCol w:w="964"/>
        <w:gridCol w:w="591"/>
        <w:gridCol w:w="757"/>
        <w:gridCol w:w="2204"/>
        <w:gridCol w:w="2231"/>
        <w:gridCol w:w="994"/>
        <w:gridCol w:w="994"/>
        <w:gridCol w:w="1741"/>
        <w:gridCol w:w="1114"/>
        <w:gridCol w:w="1114"/>
        <w:gridCol w:w="1841"/>
        <w:gridCol w:w="1214"/>
        <w:gridCol w:w="1214"/>
        <w:gridCol w:w="651"/>
        <w:gridCol w:w="1141"/>
        <w:gridCol w:w="1747"/>
        <w:gridCol w:w="1121"/>
        <w:gridCol w:w="1017"/>
        <w:gridCol w:w="1564"/>
        <w:gridCol w:w="937"/>
        <w:gridCol w:w="1512"/>
        <w:gridCol w:w="886"/>
        <w:gridCol w:w="2724"/>
        <w:gridCol w:w="854"/>
        <w:gridCol w:w="1636"/>
        <w:gridCol w:w="651"/>
      </w:tblGrid>
      <w:tr>
        <w:trPr>
          <w:trHeight w:val="51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Gene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Role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Median OS Low, months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Median OS High, months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Log-rank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Log-rank q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Univariable 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Univariable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Univariable q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Multivariable 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Multivariable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Multivariable q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EPV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Stage 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Strata(TSS) 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Strata(TSS)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PH global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HR 0–24 mo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p 0–24 mo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HR &gt;24 mo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p &gt;24 mo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RMST difference at 60 mo, months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RMST 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Exploratory (EPV &lt; 10)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2"/>
                <w:szCs w:val="12"/>
                <w:color w:val="000000"/>
              </w:rPr>
              <w:t xml:space="preserve">Note</w:t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ROCK2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primary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51.4 (41.3–NR)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(NR–NR)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0.045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0.44 (0.19–1.00)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0.049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0.41 (0.11–1.53)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0.184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0.55 (0.14–2.14)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0.386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0.302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7.75 (0.66, 14.84)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0.032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BRAF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51.9 (51.4–NR)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(57.2–NR)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0.74 (0.34–1.64)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0.54 (0.17–1.67)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0.48 (0.15–1.55)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2.85 (-4.17, 9.87)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BRCA1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57.2 (41.3–NR)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(51.9–NR)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0.38 (0.16–0.87)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0.48 (0.15–1.52)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0.63 (0.20–1.96)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7.82 (0.89, 14.75)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TIMP1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(NR–NR)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51.4 (43.2–NR)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2.58 (1.10–6.03)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3.56 (1.03–12.34)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2.87 (0.81–10.22)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2.96 (0.73–12.01)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5.79 (0.59–57.19)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-8.42 (-14.94, -1.89)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APC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51.4 (47.0–NR)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(NR–NR)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0.64 (0.29–1.43)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0.70 (0.23–2.13)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0.95 (0.29–3.15)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0.933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1.15 (0.30–4.34)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0.21 (0.02–2.05)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4.82 (-1.86, 11.50)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FBXW7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51.9 (43.2–NR)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(51.4–NR)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0.73 (0.32–1.65)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0.34 (0.09–1.29)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0.44 (0.12–1.65)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3.98 (-3.70, 11.66)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KRAS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51.9 (51.4–NR)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(NR–NR)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0.55 (0.25–1.23)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0.21 (0.06–0.79)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0.18 (0.03–1.06)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5.32 (-1.61, 12.26)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PIK3CA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51.9 (51.4–NR)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(NR–NR)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0.54 (0.24–1.23)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0.42 (0.13–1.41)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0.49 (0.13–1.77)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0.277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5.67 (-1.11, 12.45)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48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TP53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(51.9–NR)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(47.0–NR)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0.87 (0.39–1.94)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0.729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0.87 (0.26–2.90)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0.820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0.92 (0.23–3.66)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0.907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0.432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0.07 (-6.84, 6.99)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0.984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50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MS4A1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exploratory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156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51.4 (43.2–NR)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NR (51.9–NR)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0.007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0.063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0.32 (0.13–0.77)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0.011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0.088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0.13 (0.03–0.48)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0.002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0.022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0.09 (0.02–0.42)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0.002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0.064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9.16 (2.22, 16.09)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0.010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true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1906" w:w="1683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2026-09-27T21:19:39Z</dcterms:modified>
  <cp:category/>
</cp:coreProperties>
</file>