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(0.57–1.30)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(0.67–1.54)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(0.78–6.37)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4.53 (1.59–12.94)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14.33 (4.99–41.20)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2026-09-27T11:50:44Z</dcterms:modified>
  <cp:category/>
</cp:coreProperties>
</file>