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(0.70–1.61)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(1.15–1.66)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(0.77–6.34)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4.45 (1.56–12.69)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14.09 (4.90–40.49)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2026-09-27T11:50:46Z</dcterms:modified>
  <cp:category/>
</cp:coreProperties>
</file>