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2.21 (0.77–6.33)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4.30 (1.51–12.26)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14.24 (4.96–40.88)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2026-09-27T11:50:50Z</dcterms:modified>
  <cp:category/>
</cp:coreProperties>
</file>