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 (0.53–1.22)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(1.16–1.66)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2.18 (0.76–6.23)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4.40 (1.55–12.55)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13.68 (4.76–39.36)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2026-09-27T11:50:56Z</dcterms:modified>
  <cp:category/>
</cp:coreProperties>
</file>