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92.7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(71.5–84.8)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(71.7–85.6)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68.6% (59.1–79.7)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76.1% (69.1–83.7)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60.2% (49.2–73.6)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73.7% (66.8–81.4)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61.6% (50.8–74.8)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(73.7–86.3)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(54.7–78.2)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76.7% (70.1–84.0)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61.6% (50.9–74.5)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75.0% (68.6–81.9)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57.9% (47.0–71.2)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(71.3–84.6)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63.6% (52.8–76.7)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78.7% (72.2–85.9)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65.7% (56.0–77.2)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73.9% (67.2–81.2)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57.3% (47.1–69.7)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(68.2–81.8)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58.4% (48.8–69.9)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(74.1–88.5)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73.3% (63.2–85.1)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2026-09-27T11:51:03Z</dcterms:modified>
  <cp:category/>
</cp:coreProperties>
</file>