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 and pathologic stage.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(0.31–0.81)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4.88 (0.60, 9.17)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(0.55–1.40)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(-3.39, 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-1.92 (-6.23,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(0.57–1.42)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3.70 (-0.59, 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(0.51–1.25)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1.45 (-2.83, 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(0.59–1.44)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-1.02 (-5.32,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1.69 (1.07–2.67)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-5.67 (-9.97, 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(0.51–1.27)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(-3.87, 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(0.42–0.94)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(0.37–0.87)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(0.39–0.99)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5.89 (1.63, 10.15)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2026-09-27T11:51:02Z</dcterms:modified>
  <cp:category/>
</cp:coreProperties>
</file>