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BRAF expression, TCGA-READ (n = 150, events = 23, EPV = 5.8;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60"/>
        <w:gridCol w:w="1145"/>
        <w:gridCol w:w="681"/>
        <w:gridCol w:w="931"/>
        <w:gridCol w:w="1611"/>
        <w:gridCol w:w="816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BRAF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0.78 (0.33–1.84)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(per 10 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2.40 (1.41–4.09)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1.05 (0.45–2.43)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2.85 (1.15–7.06)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2026-09-27T11:51:06Z</dcterms:modified>
  <cp:category/>
</cp:coreProperties>
</file>