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(1.47–4.21)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(0.43–2.28)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3.16 (1.25–7.99)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2026-09-27T11:51:13Z</dcterms:modified>
  <cp:category/>
</cp:coreProperties>
</file>