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2.19 (1.30–3.68)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(0.34–1.93)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(1.07–6.52)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2026-09-27T11:51:25Z</dcterms:modified>
  <cp:category/>
</cp:coreProperties>
</file>