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(0.24–1.62)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2.20 (1.25–3.86)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(0.42–2.28)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(1.10–6.75)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2026-09-27T11:51:22Z</dcterms:modified>
  <cp:category/>
</cp:coreProperties>
</file>