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TIMP1 expression, TCGA-READ (n = 149, events = 23, EPV = 5.8;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 (0.76–4.83)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2.28 (1.35–3.87)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(0.40–2.19)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2.56 (1.02–6.41)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2026-09-27T11:51:09Z</dcterms:modified>
  <cp:category/>
</cp:coreProperties>
</file>