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TCGA-READ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145"/>
        <w:gridCol w:w="681"/>
        <w:gridCol w:w="931"/>
        <w:gridCol w:w="170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(0.34–1.66)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 (0.26–1.58)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 (0.17–0.88)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 (0.19–0.70)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2.54 (1.09–5.96)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1.80 (1.15–2.81)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 (0.29–1.45)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(0.54–1.31)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(0.32–1.63)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(0.43–2.48)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 (0.25–1.25)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(0.44–1.25)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 (0.24–1.24)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(0.32–1.23)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(0.38–1.92)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(0.86–1.71)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(0.19–1.01)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(0.45–1.15)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 (0.13–0.77)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(0.68–1.02)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2.34 (1.47–3.71)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 (0.55–2.64)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1.25 (0.24–6.48)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2.39 (0.50–11.46)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6.24 (1.31–29.62)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2.98 (1.22–7.30)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2026-09-27T11:51:28Z</dcterms:modified>
  <cp:category/>
</cp:coreProperties>
</file>