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89.5% (82.3–97.4)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56.7% (36.4–88.3)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91.1% (83.8–99.1)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65.8% (46.2–93.6)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(82.7–98.1)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(68.4–96.1)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85.3% (76.7–95.0)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75.9% (62.2–92.6)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(75.9–96.6)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31.2% (7.3–100.0)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89.0% (81.6–97.2)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71.4% (54.5–93.5)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90.1% (83.4–97.4)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(54.9–94.3)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83.2% (73.8–93.7)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(30.1–93.1)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88.3% (80.4–97.1)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69.8% (51.7–94.2)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93.4% (87.2–100.0)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70.3% (49.1–100.0)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2026-09-27T11:51:27Z</dcterms:modified>
  <cp:category/>
</cp:coreProperties>
</file>