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TCGA-READ. HR from Cox regression; multivariable model adjusted for age (per 10 years), sex and pathologic stage. q = Benjamini–Hochberg across exploratory genes only; the primary gene (MS4A1)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 (0.13–0.89)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 (0.07–0.64)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9.11 (2.16, 16.06)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0.75 (0.34–1.66)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 (0.33–1.84)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 (0.29–1.69)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2.78 (-4.26, 9.82)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 (0.17–0.88)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 (0.22–1.31)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 (0.23–1.41)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7.75 (0.80, 14.70)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2.54 (1.09–5.96)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1.91 (0.76–4.83)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1.75 (0.68–4.51)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1.07 (0.34–3.34)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4.50 (0.92–21.97)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-8.34 (-14.89, -1.79)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0.65 (0.29–1.45)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1.05 (0.44–2.49)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 (0.34–2.38)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2.05 (0.65–6.42)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 (0.07–1.77)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4.71 (-2.00, 11.43)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 (0.32–1.63)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 (0.22–1.33)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(0.15–1.27)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4.09 (-3.61, 11.80)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0.56 (0.25–1.25)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0.68 (0.28–1.65)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(0.24–1.58)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5.25 (-1.71, 12.21)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 (0.24–1.24)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0.75 (0.30–1.87)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(0.24–1.80)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5.61 (-1.19, 12.41)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(0.38–1.92)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(0.37–2.07)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1.01 (0.39–2.58)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 (-6.75, 7.15)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(0.19–1.01)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 (0.24–1.62)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 (0.16–1.34)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7.67 (0.55, 14.78)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2026-09-27T11:51:26Z</dcterms:modified>
  <cp:category/>
</cp:coreProperties>
</file>