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t>패널 신청내용</w:t>
      </w:r>
    </w:p>
    <w:tbl>
      <w:tblPr>
        <w:tblW w:type="auto" w:w="0"/>
        <w:jc w:val="center"/>
        <w:tblLayout w:type="fixed"/>
        <w:tblLook w:firstColumn="1" w:firstRow="1" w:lastColumn="0" w:lastRow="0" w:noHBand="0" w:noVBand="1" w:val="04A0"/>
        <w:tblBorders>
          <w:top w:val="single" w:sz="5" w:color="7A8792"/>
          <w:left w:val="single" w:sz="5" w:color="7A8792"/>
          <w:bottom w:val="single" w:sz="5" w:color="7A8792"/>
          <w:right w:val="single" w:sz="5" w:color="7A8792"/>
          <w:insideH w:val="single" w:sz="5" w:color="7A8792"/>
          <w:insideV w:val="single" w:sz="5" w:color="7A8792"/>
        </w:tblBorders>
        <w:tblCellMar>
          <w:top w:w="115" w:type="dxa"/>
          <w:bottom w:w="115" w:type="dxa"/>
          <w:left w:w="155" w:type="dxa"/>
          <w:right w:w="155" w:type="dxa"/>
        </w:tblCellMar>
      </w:tblPr>
      <w:tblGrid>
        <w:gridCol w:w="1417"/>
        <w:gridCol w:w="8674"/>
      </w:tblGrid>
      <w:tr>
        <w:trPr>
          <w:tblHeader/>
        </w:trPr>
        <w:tc>
          <w:tcPr>
            <w:tcW w:type="dxa" w:w="5046"/>
            <w:shd w:fill="E6EEF5"/>
          </w:tcPr>
          <w:p>
            <w:pPr>
              <w:spacing w:before="0"/>
              <w:keepNext/>
              <w:snapToGrid w:val="0"/>
              <w:jc w:val="center"/>
            </w:pPr>
            <w:r>
              <w:rPr>
                <w:b/>
              </w:rPr>
              <w:t>구분</w:t>
            </w:r>
          </w:p>
        </w:tc>
        <w:tc>
          <w:tcPr>
            <w:tcW w:type="dxa" w:w="5046"/>
            <w:shd w:fill="E6EEF5"/>
          </w:tcPr>
          <w:p>
            <w:pPr>
              <w:spacing w:before="0"/>
              <w:keepNext/>
              <w:snapToGrid w:val="0"/>
              <w:jc w:val="center"/>
            </w:pPr>
            <w:r>
              <w:rPr>
                <w:b/>
              </w:rPr>
              <w:t>내용</w:t>
            </w:r>
          </w:p>
        </w:tc>
      </w:tr>
      <w:tr>
        <w:tc>
          <w:tcPr>
            <w:tcW w:type="dxa" w:w="1417"/>
            <w:shd w:fill="DFEAF4"/>
            <w:vAlign w:val="center"/>
          </w:tcPr>
          <w:p>
            <w:pPr>
              <w:spacing w:before="0"/>
              <w:keepNext w:val="0"/>
              <w:snapToGrid w:val="0"/>
              <w:jc w:val="center"/>
            </w:pPr>
            <w:r>
              <w:rPr>
                <w:b/>
              </w:rPr>
              <w:t>비전 및</w:t>
              <w:br/>
              <w:t>목표</w:t>
            </w:r>
          </w:p>
        </w:tc>
        <w:tc>
          <w:tcPr>
            <w:tcW w:type="dxa" w:w="8674"/>
          </w:tcPr>
          <w:p>
            <w:pPr>
              <w:spacing w:before="0"/>
              <w:keepNext/>
              <w:snapToGrid w:val="0"/>
            </w:pPr>
            <w:r>
              <w:rPr>
                <w:b/>
              </w:rPr>
              <w:t>작품명  온톨로지 기반 제조 AI 업무도우미</w:t>
            </w:r>
          </w:p>
          <w:p>
            <w:pPr>
              <w:spacing w:before="0"/>
              <w:snapToGrid w:val="0"/>
            </w:pPr>
            <w:r>
              <w:rPr>
                <w:b w:val="0"/>
              </w:rPr>
              <w:t>교반기 이상 알람을 받으면 센서 이력·설비 정보·대응 문서를 연결해 보여준다. AI가 관측 사실과 미확인 원인, 점검 항목을 정리하고 사용자가 대응안을 검토한다. 승인된 시뮬레이터 조치는 새 관측으로 결과를 확인한다.</w:t>
            </w:r>
          </w:p>
          <w:p>
            <w:pPr>
              <w:spacing w:before="100"/>
              <w:keepNext/>
              <w:snapToGrid w:val="0"/>
            </w:pPr>
            <w:r>
              <w:rPr>
                <w:b/>
              </w:rPr>
              <w:t>비전</w:t>
            </w:r>
          </w:p>
          <w:p>
            <w:pPr>
              <w:spacing w:before="0"/>
              <w:snapToGrid w:val="0"/>
            </w:pPr>
            <w:r>
              <w:rPr>
                <w:b w:val="0"/>
              </w:rPr>
              <w:t>알람 이후 여러 화면과 문서를 찾는 부담을 줄이고, 작업자가 근거를 확인하며 대응을 결정하는 업무 환경을 제공한다.</w:t>
            </w:r>
          </w:p>
          <w:p>
            <w:pPr>
              <w:spacing w:before="100"/>
              <w:keepNext/>
              <w:snapToGrid w:val="0"/>
            </w:pPr>
            <w:r>
              <w:rPr>
                <w:b/>
              </w:rPr>
              <w:t>목표</w:t>
            </w:r>
          </w:p>
          <w:p>
            <w:pPr>
              <w:spacing w:before="0"/>
              <w:snapToGrid w:val="0"/>
            </w:pPr>
            <w:r>
              <w:rPr>
                <w:b w:val="0"/>
              </w:rPr>
              <w:t>설비·센서·문서의 관계를 온톨로지와 그래프 DB로 연결하고, AI 근거 조회부터 승인·반려와 조치 결과 확인까지 통합한다. 가상 반응기 AR-100을 이용한 교육·전시용 강사 시연본이다.</w:t>
            </w:r>
          </w:p>
        </w:tc>
      </w:tr>
      <w:tr>
        <w:tc>
          <w:tcPr>
            <w:tcW w:type="dxa" w:w="1417"/>
            <w:shd w:fill="DFEAF4"/>
            <w:vAlign w:val="center"/>
          </w:tcPr>
          <w:p>
            <w:pPr>
              <w:spacing w:before="0"/>
              <w:keepNext w:val="0"/>
              <w:snapToGrid w:val="0"/>
              <w:jc w:val="center"/>
            </w:pPr>
            <w:r>
              <w:rPr>
                <w:b/>
              </w:rPr>
              <w:t>성과 등</w:t>
              <w:br/>
              <w:t>주요내용</w:t>
            </w:r>
          </w:p>
        </w:tc>
        <w:tc>
          <w:tcPr>
            <w:tcW w:type="dxa" w:w="8674"/>
          </w:tcPr>
          <w:p>
            <w:pPr>
              <w:spacing w:before="0"/>
              <w:keepNext/>
              <w:snapToGrid w:val="0"/>
            </w:pPr>
            <w:r>
              <w:rPr>
                <w:b/>
              </w:rPr>
              <w:t>작동 흐름</w:t>
            </w:r>
          </w:p>
          <w:p>
            <w:pPr>
              <w:spacing w:before="0"/>
              <w:snapToGrid w:val="0"/>
            </w:pPr>
            <w:r>
              <w:rPr>
                <w:b w:val="0"/>
              </w:rPr>
              <w:t>가상 이상 발생 → SCADA 알람·사건 생성 → 센서 이력·설비 관계·문서 조회 → AI 대응안 → 사용자 승인 또는 반려 → 승인 조건 재확인 → 시뮬레이터 조치 → 결과 확인·후속 점검</w:t>
            </w:r>
          </w:p>
          <w:p>
            <w:pPr>
              <w:spacing w:before="140"/>
              <w:keepNext/>
              <w:snapToGrid w:val="0"/>
            </w:pPr>
            <w:r>
              <w:rPr>
                <w:b/>
              </w:rPr>
              <w:t>주요 기능</w:t>
            </w:r>
          </w:p>
          <w:p>
            <w:pPr>
              <w:spacing w:before="0"/>
              <w:snapToGrid w:val="0"/>
            </w:pPr>
            <w:r>
              <w:rPr>
                <w:b w:val="0"/>
              </w:rPr>
              <w:t>• 반복 알람을 사건으로 묶고, 원본 알람과 발생 시각을 보존한다.</w:t>
            </w:r>
          </w:p>
          <w:p>
            <w:pPr>
              <w:spacing w:before="0"/>
              <w:snapToGrid w:val="0"/>
            </w:pPr>
            <w:r>
              <w:rPr>
                <w:b w:val="0"/>
              </w:rPr>
              <w:t>• 설비 설정·문서에서 관계 후보를 만들고 출처·적용 대상을 검토해 그래프에 게시한다. 게시된 설비–센서–문서 관계를 탐색한다.</w:t>
            </w:r>
          </w:p>
          <w:p>
            <w:pPr>
              <w:spacing w:before="0"/>
              <w:snapToGrid w:val="0"/>
            </w:pPr>
            <w:r>
              <w:rPr>
                <w:b w:val="0"/>
              </w:rPr>
              <w:t>• AI가 사건 당시 이력과 현재 관측을 구분해 원인 후보와 근거를 정리한다. 문서 부족·충돌, 불량·오래된 관측은 확인할 내용으로 남긴다.</w:t>
            </w:r>
          </w:p>
          <w:p>
            <w:pPr>
              <w:spacing w:before="0"/>
              <w:snapToGrid w:val="0"/>
            </w:pPr>
            <w:r>
              <w:rPr>
                <w:b w:val="0"/>
              </w:rPr>
              <w:t>• 사용자 승인 시 현재 상태와 근거를 다시 확인한다. 반려 사유와 조치 결과를 기록하며, 정지 확인과 정비 완료를 구분한다.</w:t>
            </w:r>
          </w:p>
          <w:p>
            <w:pPr>
              <w:spacing w:before="140"/>
              <w:keepNext/>
              <w:snapToGrid w:val="0"/>
            </w:pPr>
            <w:r>
              <w:rPr>
                <w:b/>
              </w:rPr>
              <w:t>시스템 구성</w:t>
            </w:r>
          </w:p>
          <w:p>
            <w:pPr>
              <w:spacing w:before="0"/>
              <w:snapToGrid w:val="0"/>
            </w:pPr>
            <w:r>
              <w:rPr>
                <w:b w:val="0"/>
              </w:rPr>
              <w:t>• IIoT·SCADA: 가상 센서·제어, 데이터 수집, 규칙 기반 이상 감지, 시계열 이력 저장.</w:t>
            </w:r>
          </w:p>
          <w:p>
            <w:pPr>
              <w:spacing w:before="0"/>
              <w:snapToGrid w:val="0"/>
            </w:pPr>
            <w:r>
              <w:rPr>
                <w:b w:val="0"/>
              </w:rPr>
              <w:t>• 온톨로지·Neo4j: 설비·센서·문서 관계, 문서 버전과 출처, 적용 절차 조회.</w:t>
            </w:r>
          </w:p>
          <w:p>
            <w:pPr>
              <w:spacing w:before="0"/>
              <w:snapToGrid w:val="0"/>
            </w:pPr>
            <w:r>
              <w:rPr>
                <w:b w:val="0"/>
              </w:rPr>
              <w:t>• AI 업무 계층: LiteLLM 중계의 루나 모델이 도구를 조회해 대응안을 작성하고, PostgreSQL에 사건·검토·결과를 보존.</w:t>
            </w:r>
          </w:p>
          <w:p>
            <w:pPr>
              <w:spacing w:before="0"/>
              <w:snapToGrid w:val="0"/>
            </w:pPr>
            <w:r>
              <w:rPr>
                <w:b w:val="0"/>
              </w:rPr>
              <w:t>• 통합 웹: 현황·추세·지식 구축·관계 탐색·검토·결과를 제공. Process GPT와 Ontology Studio의 필요한 코드를 선별·리팩토링해 내부 통합.</w:t>
            </w:r>
          </w:p>
        </w:tc>
      </w:tr>
    </w:tbl>
    <w:p>
      <w:pPr>
        <w:snapToGrid w:val="0"/>
      </w:pPr>
      <w:r>
        <w:br w:type="page"/>
      </w:r>
    </w:p>
    <w:tbl>
      <w:tblPr>
        <w:tblW w:type="auto" w:w="0"/>
        <w:jc w:val="center"/>
        <w:tblLayout w:type="fixed"/>
        <w:tblLook w:firstColumn="1" w:firstRow="1" w:lastColumn="0" w:lastRow="0" w:noHBand="0" w:noVBand="1" w:val="04A0"/>
        <w:tblBorders>
          <w:top w:val="single" w:sz="5" w:color="7A8792"/>
          <w:left w:val="single" w:sz="5" w:color="7A8792"/>
          <w:bottom w:val="single" w:sz="5" w:color="7A8792"/>
          <w:right w:val="single" w:sz="5" w:color="7A8792"/>
          <w:insideH w:val="single" w:sz="5" w:color="7A8792"/>
          <w:insideV w:val="single" w:sz="5" w:color="7A8792"/>
        </w:tblBorders>
        <w:tblCellMar>
          <w:top w:w="115" w:type="dxa"/>
          <w:bottom w:w="115" w:type="dxa"/>
          <w:left w:w="155" w:type="dxa"/>
          <w:right w:w="155" w:type="dxa"/>
        </w:tblCellMar>
      </w:tblPr>
      <w:tblGrid>
        <w:gridCol w:w="1417"/>
        <w:gridCol w:w="8674"/>
      </w:tblGrid>
      <w:tr>
        <w:trPr>
          <w:tblHeader/>
        </w:trPr>
        <w:tc>
          <w:tcPr>
            <w:tcW w:type="dxa" w:w="5046"/>
            <w:shd w:fill="E6EEF5"/>
          </w:tcPr>
          <w:p>
            <w:pPr>
              <w:spacing w:before="0"/>
              <w:keepNext/>
              <w:snapToGrid w:val="0"/>
              <w:jc w:val="center"/>
            </w:pPr>
            <w:r>
              <w:rPr>
                <w:b/>
              </w:rPr>
              <w:t>구분</w:t>
            </w:r>
          </w:p>
        </w:tc>
        <w:tc>
          <w:tcPr>
            <w:tcW w:type="dxa" w:w="5046"/>
            <w:shd w:fill="E6EEF5"/>
          </w:tcPr>
          <w:p>
            <w:pPr>
              <w:spacing w:before="0"/>
              <w:keepNext/>
              <w:snapToGrid w:val="0"/>
              <w:jc w:val="center"/>
            </w:pPr>
            <w:r>
              <w:rPr>
                <w:b/>
              </w:rPr>
              <w:t>내용</w:t>
            </w:r>
          </w:p>
        </w:tc>
      </w:tr>
      <w:tr>
        <w:tc>
          <w:tcPr>
            <w:tcW w:type="dxa" w:w="1417"/>
            <w:shd w:fill="DFEAF4"/>
            <w:vAlign w:val="center"/>
          </w:tcPr>
          <w:p>
            <w:pPr>
              <w:spacing w:before="0"/>
              <w:keepNext w:val="0"/>
              <w:snapToGrid w:val="0"/>
              <w:jc w:val="center"/>
            </w:pPr>
            <w:r>
              <w:rPr>
                <w:b/>
              </w:rPr>
              <w:t>성과 등</w:t>
              <w:br/>
              <w:t>주요내용</w:t>
              <w:br/>
              <w:t>계속</w:t>
            </w:r>
          </w:p>
        </w:tc>
        <w:tc>
          <w:tcPr>
            <w:tcW w:type="dxa" w:w="8674"/>
          </w:tcPr>
          <w:p>
            <w:pPr>
              <w:spacing w:before="0"/>
              <w:keepNext/>
              <w:snapToGrid w:val="0"/>
            </w:pPr>
            <w:r>
              <w:rPr>
                <w:b/>
              </w:rPr>
              <w:t>관람객 체험</w:t>
            </w:r>
          </w:p>
          <w:p>
            <w:pPr>
              <w:spacing w:before="0"/>
              <w:snapToGrid w:val="0"/>
            </w:pPr>
            <w:r>
              <w:rPr>
                <w:b w:val="0"/>
              </w:rPr>
              <w:t>강사가 가상 이상을 시작하면 관람객은 사건을 선택해 전류·진동 추세와 대응 문서를 살펴본다. AI 대응안의 근거를 확인하고 승인 또는 반려 흐름을 관찰한다. 정지 후에도 남은 점검 항목을 확인한다. 실제 화면 동선은 리허설 후 확정한다.</w:t>
            </w:r>
          </w:p>
          <w:p>
            <w:pPr>
              <w:spacing w:before="100"/>
              <w:keepNext/>
              <w:snapToGrid w:val="0"/>
            </w:pPr>
            <w:r>
              <w:rPr>
                <w:b/>
              </w:rPr>
              <w:t>성과 확인</w:t>
            </w:r>
          </w:p>
          <w:p>
            <w:pPr>
              <w:spacing w:before="0"/>
              <w:snapToGrid w:val="0"/>
            </w:pPr>
            <w:r>
              <w:rPr>
                <w:b w:val="0"/>
              </w:rPr>
              <w:t>실제 모델·API 실행 기록으로 알람 수신, 지식 조회, 대응안, 승인 후 시뮬레이터 정지와 후속 관측을 확인했다. 문서 부족·충돌, 관측 품질 문제, 모델 연결 실패도 시험했다. 화면 리허설과 최종 캡처는 준비 중이다.</w:t>
            </w:r>
          </w:p>
          <w:p>
            <w:pPr>
              <w:spacing w:before="100"/>
              <w:keepNext/>
              <w:snapToGrid w:val="0"/>
            </w:pPr>
            <w:r>
              <w:rPr>
                <w:b/>
              </w:rPr>
              <w:t>전시 운영</w:t>
            </w:r>
          </w:p>
          <w:p>
            <w:pPr>
              <w:spacing w:before="0"/>
              <w:snapToGrid w:val="0"/>
            </w:pPr>
            <w:r>
              <w:rPr>
                <w:b w:val="0"/>
              </w:rPr>
              <w:t>가상 공정과 교육용 문서임을 안내한다. 강사가 시뮬레이터의 정지·복구를 관리하고 다음 체험 전 고장 주입과 운전 상태를 확인한다. 통신 실패나 결과 불명확 상태에서는 명령을 자동 반복하지 않는다.</w:t>
            </w:r>
          </w:p>
        </w:tc>
      </w:tr>
      <w:tr>
        <w:tc>
          <w:tcPr>
            <w:tcW w:type="dxa" w:w="1417"/>
            <w:shd w:fill="DFEAF4"/>
            <w:vAlign w:val="center"/>
          </w:tcPr>
          <w:p>
            <w:pPr>
              <w:spacing w:before="0"/>
              <w:keepNext w:val="0"/>
              <w:snapToGrid w:val="0"/>
              <w:jc w:val="center"/>
            </w:pPr>
            <w:r>
              <w:rPr>
                <w:b/>
              </w:rPr>
              <w:t>관련소스</w:t>
            </w:r>
          </w:p>
        </w:tc>
        <w:tc>
          <w:tcPr>
            <w:tcW w:type="dxa" w:w="8674"/>
          </w:tcPr>
          <w:p>
            <w:pPr>
              <w:spacing w:before="0"/>
              <w:keepNext/>
              <w:snapToGrid w:val="0"/>
            </w:pPr>
            <w:r>
              <w:rPr>
                <w:b/>
              </w:rPr>
              <w:t>패널 제작용 자료</w:t>
            </w:r>
          </w:p>
          <w:p>
            <w:pPr>
              <w:spacing w:before="0"/>
              <w:snapToGrid w:val="0"/>
            </w:pPr>
            <w:r>
              <w:rPr>
                <w:b w:val="0"/>
              </w:rPr>
              <w:t>시스템 구성도와 실제 데모 화면을 사용한다. 운영 현황, 설비–센서–문서 그래프, 근거·검토, 조치 결과 화면은 실제 캡처 후 첨부한다.</w:t>
            </w:r>
          </w:p>
          <w:p>
            <w:pPr>
              <w:spacing w:after="60" w:line="240" w:lineRule="auto"/>
              <w:snapToGrid w:val="0"/>
            </w:pPr>
            <w:r>
              <w:drawing>
                <wp:inline xmlns:a="http://schemas.openxmlformats.org/drawingml/2006/main" xmlns:pic="http://schemas.openxmlformats.org/drawingml/2006/picture">
                  <wp:extent cx="5220000" cy="3027600"/>
                  <wp:docPr id="1" name="Picture 1" descr="알람 수집, 게시된 설비와 문서 조회, AI 근거 분석, 사람 승인과 조치 결과 확인의 시스템 구성도. 실제 화면 캡처가 아닌 설명 그림."/>
                  <wp:cNvGraphicFramePr>
                    <a:graphicFrameLocks noChangeAspect="1"/>
                  </wp:cNvGraphicFramePr>
                  <a:graphic>
                    <a:graphicData uri="http://schemas.openxmlformats.org/drawingml/2006/picture">
                      <pic:pic>
                        <pic:nvPicPr>
                          <pic:cNvPr id="0" name="system-flow.png"/>
                          <pic:cNvPicPr/>
                        </pic:nvPicPr>
                        <pic:blipFill>
                          <a:blip r:embed="rId10"/>
                          <a:stretch>
                            <a:fillRect/>
                          </a:stretch>
                        </pic:blipFill>
                        <pic:spPr>
                          <a:xfrm>
                            <a:off x="0" y="0"/>
                            <a:ext cx="5220000" cy="3027600"/>
                          </a:xfrm>
                          <a:prstGeom prst="rect"/>
                        </pic:spPr>
                      </pic:pic>
                    </a:graphicData>
                  </a:graphic>
                </wp:inline>
              </w:drawing>
            </w:r>
          </w:p>
          <w:p>
            <w:pPr>
              <w:spacing w:before="0"/>
              <w:snapToGrid w:val="0"/>
            </w:pPr>
            <w:r>
              <w:rPr>
                <w:b w:val="0"/>
                <w:sz w:val="16"/>
              </w:rPr>
              <w:t>그림 1  시스템 구성도  ·  실제 서비스 화면 캡처 아님</w:t>
            </w:r>
          </w:p>
          <w:p>
            <w:pPr>
              <w:spacing w:before="100"/>
              <w:keepNext/>
              <w:snapToGrid w:val="0"/>
            </w:pPr>
            <w:r>
              <w:rPr>
                <w:b/>
              </w:rPr>
              <w:t>기술 참고</w:t>
            </w:r>
          </w:p>
          <w:p>
            <w:pPr>
              <w:spacing w:before="0"/>
              <w:snapToGrid w:val="0"/>
            </w:pPr>
            <w:r>
              <w:rPr>
                <w:b w:val="0"/>
              </w:rPr>
              <w:t>INOXPA BCI 매뉴얼 20.005.30.01EN (B), 2024/08, p.15 · IEC 62682:2022 공식 공개 설명 · OPC UA for Machinery 공식 자료. 가상 설비의 운전 한계나 인증 근거로 전용하지 않는다.</w:t>
            </w:r>
          </w:p>
        </w:tc>
      </w:tr>
    </w:tbl>
    <w:p>
      <w:pPr>
        <w:spacing w:before="240"/>
        <w:jc w:val="center"/>
        <w:snapToGrid w:val="0"/>
      </w:pPr>
      <w:r>
        <w:t>상기와 같이 부스 패널 원고 신청서를 작성하여 제출합니다.</w:t>
      </w:r>
    </w:p>
    <w:p>
      <w:pPr>
        <w:jc w:val="right"/>
        <w:snapToGrid w:val="0"/>
      </w:pPr>
      <w:r>
        <w:t>2026년        월        일</w:t>
        <w:br/>
        <w:t>담당자                         (인)</w:t>
      </w:r>
    </w:p>
    <w:sectPr w:rsidR="00FC693F" w:rsidRPr="0006063C" w:rsidSect="00034616">
      <w:footerReference w:type="default" r:id="rId9"/>
      <w:pgSz w:w="11906" w:h="16838"/>
      <w:pgMar w:top="964" w:right="907" w:bottom="964" w:left="907"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검토용 초안  |  2026.09.21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0" w:lineRule="exact" w:after="80"/>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맑은 고딕" w:hAnsi="맑은 고딕"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맑은 고딕" w:hAnsi="맑은 고딕" w:eastAsia="맑은 고딕"/>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온톨로지 기반 제조 AI 업무도우미 패널 신청서</dc:title>
  <dc:subject>CECO 교육 전시 신청서 검토용 초안</dc:subject>
  <dc:creator/>
  <cp:keywords/>
  <dc:description>실제 화면 캡처 및 UI 리허설 미완료. 검토용 초안.</dc:description>
  <cp:lastModifiedBy/>
  <cp:revision>1</cp:revision>
  <dcterms:created xsi:type="dcterms:W3CDTF">2013-12-23T23:15:00Z</dcterms:created>
  <dcterms:modified xsi:type="dcterms:W3CDTF">2013-12-23T23:15:00Z</dcterms:modified>
  <cp:category/>
</cp:coreProperties>
</file>