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
      <w:pPr>
        <w:jc w:val="center"/>
      </w:pPr>
      <w:r>
        <w:rPr>
          <w:rFonts w:ascii="Times New Roman" w:hAnsi="Times New Roman"/>
          <w:b/>
          <w:sz w:val="36"/>
        </w:rPr>
        <w:t>SYSTEM DEVELOPMENT REPORT</w:t>
        <w:br/>
        <w:t>MASCI E-LEARNING PLATFORM: AN AI-POWERED EDUCATIONAL SYSTEM</w:t>
      </w:r>
    </w:p>
    <w:p>
      <w:r>
        <w:br w:type="page"/>
      </w:r>
    </w:p>
    <w:p>
      <w:pPr>
        <w:sectPr>
          <w:footerReference w:type="default" r:id="rId9"/>
          <w:pgSz w:w="12240" w:h="15840"/>
          <w:pgMar w:top="1417" w:right="1417" w:bottom="1417" w:left="1417" w:header="720" w:footer="720" w:gutter="0"/>
          <w:cols w:space="720"/>
          <w:docGrid w:linePitch="360"/>
        </w:sectPr>
      </w:pPr>
    </w:p>
    <w:p>
      <w:pPr>
        <w:spacing w:after="480"/>
        <w:jc w:val="center"/>
      </w:pPr>
      <w:r>
        <w:rPr>
          <w:rFonts w:ascii="Times New Roman" w:hAnsi="Times New Roman"/>
          <w:b/>
          <w:sz w:val="28"/>
        </w:rPr>
        <w:t>DECLARATION (ii)</w:t>
      </w:r>
    </w:p>
    <w:p>
      <w:pPr>
        <w:sectPr>
          <w:pgSz w:w="12240" w:h="15840"/>
          <w:pgMar w:top="2835" w:right="1417" w:bottom="1417" w:left="1417" w:header="720" w:footer="720" w:gutter="0"/>
          <w:cols w:space="720"/>
          <w:docGrid w:linePitch="360"/>
          <w:pgNumType w:fmt="lowerRoman"/>
        </w:sectPr>
      </w:pPr>
    </w:p>
    <w:p>
      <w:pPr>
        <w:spacing w:line="360" w:lineRule="auto" w:after="720"/>
        <w:jc w:val="both"/>
      </w:pPr>
      <w:r>
        <w:rPr>
          <w:rFonts w:ascii="Times New Roman" w:hAnsi="Times New Roman"/>
          <w:sz w:val="24"/>
        </w:rPr>
        <w:t>This project report is presented in partial fulfillment of the requirements for the degree. It represents individual effort, and all external intellectual content has been properly referenced. The system was developed according to the specified technical parameters, utilizing the tools and algorithms detailed within this manuscript. This report has not been submitted previously to any other educational institution.</w:t>
      </w:r>
    </w:p>
    <w:p>
      <w:pPr>
        <w:sectPr>
          <w:type w:val="continuous"/>
          <w:pgSz w:w="12240" w:h="15840"/>
          <w:pgMar w:top="1417" w:right="1417" w:bottom="1417" w:left="1417" w:header="720" w:footer="720" w:gutter="0"/>
          <w:cols w:space="720"/>
          <w:docGrid w:linePitch="360"/>
          <w:pgNumType w:fmt="lowerRoman"/>
        </w:sectPr>
      </w:pPr>
    </w:p>
    <w:p>
      <w:pPr>
        <w:spacing w:after="480"/>
        <w:jc w:val="center"/>
      </w:pPr>
      <w:r>
        <w:rPr>
          <w:rFonts w:ascii="Times New Roman" w:hAnsi="Times New Roman"/>
          <w:b/>
          <w:sz w:val="28"/>
        </w:rPr>
        <w:t>ABSTRACT (iii)</w:t>
      </w:r>
    </w:p>
    <w:p>
      <w:pPr>
        <w:sectPr>
          <w:pgSz w:w="12240" w:h="15840"/>
          <w:pgMar w:top="2835" w:right="1417" w:bottom="1417" w:left="1417" w:header="720" w:footer="720" w:gutter="0"/>
          <w:cols w:space="720"/>
          <w:docGrid w:linePitch="360"/>
          <w:pgNumType w:fmt="lowerRoman"/>
        </w:sectPr>
      </w:pPr>
    </w:p>
    <w:p>
      <w:pPr>
        <w:spacing w:line="240" w:lineRule="auto" w:after="720"/>
        <w:jc w:val="both"/>
      </w:pPr>
      <w:r>
        <w:rPr>
          <w:rFonts w:ascii="Times New Roman" w:hAnsi="Times New Roman"/>
          <w:sz w:val="24"/>
        </w:rPr>
        <w:t>The digitization of secondary education in Vietnam faces persistent challenges, particularly regarding the automated assessment of handwritten mathematics and the delivery of context-aware tutoring. This project aims to design, develop, and evaluate the MaSci E-Learning Platform — a comprehensive AI-augmented educational system. The solution comprises a Jetpack Compose Android application for students, a React 19 Web Administration portal for educators, and a robust Spring Boot 3.2.5 backend facilitating secure RESTful communication. A significant contribution of this system lies in its integration of Google Gemini AI, which serves a dual purpose: first, as a multimodal vision engine to grade photographed handwritten mathematical exercises, and second, as an interactive conversational AI Tutor. Security is ensured via a strict JWT Authentication Filter Chain, and the database utilizes MySQL to enforce ACID properties and relational integrity across 24 entities. Experimental results and User Acceptance Testing (UAT) demonstrate high system reliability, an average API response time of 1.2s, and significant pedagogical value. The study concludes that multimodal AI can be effectively utilized to bridge the feedback gap in self-study environments for secondary school students.</w:t>
      </w:r>
    </w:p>
    <w:p>
      <w:pPr>
        <w:sectPr>
          <w:type w:val="continuous"/>
          <w:pgSz w:w="12240" w:h="15840"/>
          <w:pgMar w:top="1417" w:right="1417" w:bottom="1417" w:left="1417" w:header="720" w:footer="720" w:gutter="0"/>
          <w:cols w:space="720"/>
          <w:docGrid w:linePitch="360"/>
          <w:pgNumType w:fmt="lowerRoman"/>
        </w:sectPr>
      </w:pPr>
    </w:p>
    <w:p>
      <w:pPr>
        <w:spacing w:after="480"/>
        <w:jc w:val="center"/>
      </w:pPr>
      <w:r>
        <w:rPr>
          <w:rFonts w:ascii="Times New Roman" w:hAnsi="Times New Roman"/>
          <w:b/>
          <w:sz w:val="28"/>
        </w:rPr>
        <w:t>ACKNOWLEDGEMENTS</w:t>
      </w:r>
    </w:p>
    <w:p>
      <w:pPr>
        <w:sectPr>
          <w:pgSz w:w="12240" w:h="15840"/>
          <w:pgMar w:top="2835" w:right="1417" w:bottom="1417" w:left="1417" w:header="720" w:footer="720" w:gutter="0"/>
          <w:cols w:space="720"/>
          <w:docGrid w:linePitch="360"/>
          <w:pgNumType w:fmt="lowerRoman"/>
        </w:sectPr>
      </w:pPr>
    </w:p>
    <w:p>
      <w:pPr>
        <w:spacing w:line="360" w:lineRule="auto" w:after="720"/>
        <w:jc w:val="both"/>
      </w:pPr>
      <w:r>
        <w:rPr>
          <w:rFonts w:ascii="Times New Roman" w:hAnsi="Times New Roman"/>
          <w:sz w:val="24"/>
        </w:rPr>
        <w:t>Profound gratitude is extended to the academic supervisors who provided invaluable guidance throughout the ideation and execution of this project. Appreciation is also expressed to the volunteer secondary school students whose feedback during the User Acceptance Testing phase refined the usability of the mobile application.</w:t>
      </w:r>
    </w:p>
    <w:p>
      <w:pPr>
        <w:sectPr>
          <w:type w:val="continuous"/>
          <w:pgSz w:w="12240" w:h="15840"/>
          <w:pgMar w:top="1417" w:right="1417" w:bottom="1417" w:left="1417" w:header="720" w:footer="720" w:gutter="0"/>
          <w:cols w:space="720"/>
          <w:docGrid w:linePitch="360"/>
          <w:pgNumType w:fmt="lowerRoman"/>
        </w:sectPr>
      </w:pPr>
    </w:p>
    <w:p>
      <w:pPr>
        <w:spacing w:after="480"/>
        <w:jc w:val="center"/>
      </w:pPr>
      <w:r>
        <w:rPr>
          <w:rFonts w:ascii="Times New Roman" w:hAnsi="Times New Roman"/>
          <w:b/>
          <w:sz w:val="28"/>
        </w:rPr>
        <w:t>TABLE OF CONTENTS</w:t>
      </w:r>
    </w:p>
    <w:p>
      <w:pPr>
        <w:sectPr>
          <w:pgSz w:w="12240" w:h="15840"/>
          <w:pgMar w:top="2835" w:right="1417" w:bottom="1417" w:left="1417" w:header="720" w:footer="720" w:gutter="0"/>
          <w:cols w:space="720"/>
          <w:docGrid w:linePitch="360"/>
          <w:pgNumType w:fmt="lowerRoman"/>
        </w:sectPr>
      </w:pPr>
    </w:p>
    <w:p>
      <w:pPr>
        <w:spacing w:line="360" w:lineRule="auto" w:after="720"/>
        <w:jc w:val="both"/>
      </w:pPr>
      <w:r>
        <w:rPr>
          <w:rFonts w:ascii="Times New Roman" w:hAnsi="Times New Roman"/>
          <w:sz w:val="24"/>
        </w:rPr>
        <w:t>[Table of Contents to be generated via Word References feature]</w:t>
      </w:r>
    </w:p>
    <w:p>
      <w:pPr>
        <w:sectPr>
          <w:type w:val="continuous"/>
          <w:pgSz w:w="12240" w:h="15840"/>
          <w:pgMar w:top="1417" w:right="1417" w:bottom="1417" w:left="1417" w:header="720" w:footer="720" w:gutter="0"/>
          <w:cols w:space="720"/>
          <w:docGrid w:linePitch="360"/>
          <w:pgNumType w:fmt="lowerRoman"/>
        </w:sectPr>
      </w:pPr>
    </w:p>
    <w:p>
      <w:pPr>
        <w:spacing w:after="480"/>
        <w:jc w:val="center"/>
      </w:pPr>
      <w:r>
        <w:rPr>
          <w:rFonts w:ascii="Times New Roman" w:hAnsi="Times New Roman"/>
          <w:b/>
          <w:sz w:val="28"/>
        </w:rPr>
        <w:t>LIST OF TABLES</w:t>
      </w:r>
    </w:p>
    <w:p>
      <w:pPr>
        <w:sectPr>
          <w:pgSz w:w="12240" w:h="15840"/>
          <w:pgMar w:top="2835" w:right="1417" w:bottom="1417" w:left="1417" w:header="720" w:footer="720" w:gutter="0"/>
          <w:cols w:space="720"/>
          <w:docGrid w:linePitch="360"/>
          <w:pgNumType w:fmt="lowerRoman"/>
        </w:sectPr>
      </w:pPr>
    </w:p>
    <w:p>
      <w:pPr>
        <w:spacing w:line="360" w:lineRule="auto" w:after="720"/>
        <w:jc w:val="both"/>
      </w:pPr>
      <w:r>
        <w:rPr>
          <w:rFonts w:ascii="Times New Roman" w:hAnsi="Times New Roman"/>
          <w:sz w:val="24"/>
        </w:rPr>
        <w:t>[List of Tables to be generated via Word References feature]</w:t>
      </w:r>
    </w:p>
    <w:p>
      <w:pPr>
        <w:sectPr>
          <w:type w:val="continuous"/>
          <w:pgSz w:w="12240" w:h="15840"/>
          <w:pgMar w:top="1417" w:right="1417" w:bottom="1417" w:left="1417" w:header="720" w:footer="720" w:gutter="0"/>
          <w:cols w:space="720"/>
          <w:docGrid w:linePitch="360"/>
          <w:pgNumType w:fmt="lowerRoman"/>
        </w:sectPr>
      </w:pPr>
    </w:p>
    <w:p>
      <w:pPr>
        <w:spacing w:after="480"/>
        <w:jc w:val="center"/>
      </w:pPr>
      <w:r>
        <w:rPr>
          <w:rFonts w:ascii="Times New Roman" w:hAnsi="Times New Roman"/>
          <w:b/>
          <w:sz w:val="28"/>
        </w:rPr>
        <w:t>LIST OF FIGURES</w:t>
      </w:r>
    </w:p>
    <w:p>
      <w:pPr>
        <w:sectPr>
          <w:pgSz w:w="12240" w:h="15840"/>
          <w:pgMar w:top="2835" w:right="1417" w:bottom="1417" w:left="1417" w:header="720" w:footer="720" w:gutter="0"/>
          <w:cols w:space="720"/>
          <w:docGrid w:linePitch="360"/>
          <w:pgNumType w:fmt="lowerRoman"/>
        </w:sectPr>
      </w:pPr>
    </w:p>
    <w:p>
      <w:pPr>
        <w:spacing w:line="360" w:lineRule="auto" w:after="720"/>
        <w:jc w:val="both"/>
      </w:pPr>
      <w:r>
        <w:rPr>
          <w:rFonts w:ascii="Times New Roman" w:hAnsi="Times New Roman"/>
          <w:sz w:val="24"/>
        </w:rPr>
        <w:t>[List of Figures to be generated via Word References feature]</w:t>
      </w:r>
    </w:p>
    <w:p>
      <w:pPr>
        <w:sectPr>
          <w:type w:val="continuous"/>
          <w:pgSz w:w="12240" w:h="15840"/>
          <w:pgMar w:top="1417" w:right="1417" w:bottom="1417" w:left="1417" w:header="720" w:footer="720" w:gutter="0"/>
          <w:cols w:space="720"/>
          <w:docGrid w:linePitch="360"/>
          <w:pgNumType w:fmt="lowerRoman"/>
        </w:sectPr>
      </w:pPr>
    </w:p>
    <w:p>
      <w:pPr>
        <w:spacing w:after="480"/>
        <w:jc w:val="center"/>
      </w:pPr>
      <w:r>
        <w:rPr>
          <w:rFonts w:ascii="Times New Roman" w:hAnsi="Times New Roman"/>
          <w:b/>
          <w:sz w:val="28"/>
        </w:rPr>
        <w:t>LIST OF ABBREVIATIONS</w:t>
      </w:r>
    </w:p>
    <w:p>
      <w:pPr>
        <w:sectPr>
          <w:pgSz w:w="12240" w:h="15840"/>
          <w:pgMar w:top="2835" w:right="1417" w:bottom="1417" w:left="1417" w:header="720" w:footer="720" w:gutter="0"/>
          <w:cols w:space="720"/>
          <w:docGrid w:linePitch="360"/>
          <w:pgNumType w:fmt="lowerRoman"/>
        </w:sectPr>
      </w:pPr>
    </w:p>
    <w:p>
      <w:pPr>
        <w:spacing w:line="360" w:lineRule="auto" w:after="720"/>
        <w:jc w:val="both"/>
      </w:pPr>
      <w:r>
        <w:rPr>
          <w:rFonts w:ascii="Times New Roman" w:hAnsi="Times New Roman"/>
          <w:sz w:val="24"/>
        </w:rPr>
        <w:t>AI : Artificial Intelligence</w:t>
        <w:br/>
        <w:t>API : Application Programming Interface</w:t>
        <w:br/>
        <w:t>ERD : Entity Relationship Diagram</w:t>
        <w:br/>
        <w:t>FCM : Firebase Cloud Messaging</w:t>
        <w:br/>
        <w:t>JWT : JSON Web Token</w:t>
        <w:br/>
        <w:t>MVVM : Model-View-ViewModel</w:t>
        <w:br/>
        <w:t>REST : Representational State Transfer</w:t>
        <w:br/>
        <w:t>UAT : User Acceptance Testing</w:t>
        <w:br/>
        <w:t>UI : User Interface</w:t>
        <w:br/>
        <w:t>UX : User Experience</w:t>
      </w:r>
    </w:p>
    <w:p>
      <w:pPr>
        <w:sectPr>
          <w:type w:val="continuous"/>
          <w:pgSz w:w="12240" w:h="15840"/>
          <w:pgMar w:top="1417" w:right="1417" w:bottom="1417" w:left="1417" w:header="720" w:footer="720" w:gutter="0"/>
          <w:cols w:space="720"/>
          <w:docGrid w:linePitch="360"/>
          <w:pgNumType w:fmt="lowerRoman"/>
        </w:sectPr>
      </w:pPr>
    </w:p>
    <w:p>
      <w:pPr>
        <w:spacing w:after="480"/>
        <w:jc w:val="center"/>
      </w:pPr>
      <w:r>
        <w:rPr>
          <w:rFonts w:ascii="Times New Roman" w:hAnsi="Times New Roman"/>
          <w:b/>
          <w:sz w:val="28"/>
        </w:rPr>
        <w:t>CHAPTER 1: INTRODUCTION</w:t>
      </w:r>
    </w:p>
    <w:p>
      <w:pPr>
        <w:sectPr>
          <w:pgSz w:w="12240" w:h="15840"/>
          <w:pgMar w:top="2835" w:right="1417" w:bottom="1417" w:left="1417" w:header="720" w:footer="720" w:gutter="0"/>
          <w:cols w:space="720"/>
          <w:docGrid w:linePitch="360"/>
          <w:pgNumType w:fmt="decimal" w:start="1"/>
        </w:sectPr>
      </w:pPr>
    </w:p>
    <w:p>
      <w:pPr>
        <w:spacing w:before="360" w:after="240"/>
      </w:pPr>
      <w:r>
        <w:rPr>
          <w:rFonts w:ascii="Times New Roman" w:hAnsi="Times New Roman"/>
          <w:b/>
          <w:sz w:val="24"/>
        </w:rPr>
        <w:t>1.1 Background to the Study</w:t>
      </w:r>
    </w:p>
    <w:p>
      <w:pPr>
        <w:spacing w:line="360" w:lineRule="auto" w:after="720"/>
        <w:jc w:val="both"/>
      </w:pPr>
      <w:r>
        <w:rPr>
          <w:rFonts w:ascii="Times New Roman" w:hAnsi="Times New Roman"/>
          <w:sz w:val="24"/>
        </w:rPr>
        <w:t>The rapid advancement of information and communication technology throughout the past decade has fundamentally restructured the educational landscape. Following the global disruption of traditional schooling, e-learning transformed from a supplementary resource into a primary mode of instruction. Within the context of Vietnam, the digital transition accelerated rapidly, compelling millions of students to adopt digital education tools. However, this transition exposed severe disparities, notably for secondary school students residing in remote areas where access to high-quality instruction remains limited.</w:t>
      </w:r>
    </w:p>
    <w:p>
      <w:pPr>
        <w:spacing w:line="360" w:lineRule="auto" w:after="720"/>
        <w:jc w:val="both"/>
      </w:pPr>
      <w:r>
        <w:rPr>
          <w:rFonts w:ascii="Times New Roman" w:hAnsi="Times New Roman"/>
          <w:sz w:val="24"/>
        </w:rPr>
        <w:t>Subjects such as Mathematics and Natural Sciences demand both structural cognitive understanding and rigorous practice. Traditional pedagogical environments are frequently constrained by large class sizes, rigid schedules, and a reduced capacity for individualized feedback. The advent of artificial intelligence, specifically multimodal large language models (LLMs), has introduced unprecedented capabilities for automation in education. It is against this backdrop that the MaSci E-Learning Platform was engineered, aiming to leverage modern AI technologies to bridge the educational gap for secondary school students.</w:t>
      </w:r>
    </w:p>
    <w:p>
      <w:pPr>
        <w:spacing w:before="360" w:after="240"/>
      </w:pPr>
      <w:r>
        <w:rPr>
          <w:rFonts w:ascii="Times New Roman" w:hAnsi="Times New Roman"/>
          <w:b/>
          <w:sz w:val="24"/>
        </w:rPr>
        <w:t>1.2 Problem Statement</w:t>
      </w:r>
    </w:p>
    <w:p>
      <w:pPr>
        <w:spacing w:line="360" w:lineRule="auto" w:after="720"/>
        <w:jc w:val="both"/>
      </w:pPr>
      <w:r>
        <w:rPr>
          <w:rFonts w:ascii="Times New Roman" w:hAnsi="Times New Roman"/>
          <w:sz w:val="24"/>
        </w:rPr>
        <w:t>Despite the proliferation of educational software, secondary students studying Mathematics continue to face intrinsic challenges. This study addresses the following identified pain points within the current ecosystem:</w:t>
      </w:r>
    </w:p>
    <w:p>
      <w:pPr>
        <w:spacing w:line="360" w:lineRule="auto" w:after="720"/>
        <w:jc w:val="both"/>
      </w:pPr>
      <w:r>
        <w:rPr>
          <w:rFonts w:ascii="Times New Roman" w:hAnsi="Times New Roman"/>
          <w:sz w:val="24"/>
        </w:rPr>
        <w:t>First, students struggle with the absence of highly tailored, one-on-one interaction outside of school hours, leading to a loss of direction when encountering complex mathematical concepts.</w:t>
      </w:r>
    </w:p>
    <w:p>
      <w:pPr>
        <w:spacing w:line="360" w:lineRule="auto" w:after="720"/>
        <w:jc w:val="both"/>
      </w:pPr>
      <w:r>
        <w:rPr>
          <w:rFonts w:ascii="Times New Roman" w:hAnsi="Times New Roman"/>
          <w:sz w:val="24"/>
        </w:rPr>
        <w:t>Second, entering complex mathematical formulas via mobile keyboards is highly inefficient, creating a barrier to digital practice.</w:t>
      </w:r>
    </w:p>
    <w:p>
      <w:pPr>
        <w:spacing w:line="360" w:lineRule="auto" w:after="720"/>
        <w:jc w:val="both"/>
      </w:pPr>
      <w:r>
        <w:rPr>
          <w:rFonts w:ascii="Times New Roman" w:hAnsi="Times New Roman"/>
          <w:sz w:val="24"/>
        </w:rPr>
        <w:t>Third, the remote submission and grading of subjective, handwritten exercises is notoriously delayed. Current systems heavily favor multiple-choice questions, thereby ignoring the methodological steps critical to mathematical problem-solving.</w:t>
      </w:r>
    </w:p>
    <w:p>
      <w:pPr>
        <w:spacing w:line="360" w:lineRule="auto" w:after="720"/>
        <w:jc w:val="both"/>
      </w:pPr>
      <w:r>
        <w:rPr>
          <w:rFonts w:ascii="Times New Roman" w:hAnsi="Times New Roman"/>
          <w:sz w:val="24"/>
        </w:rPr>
        <w:t>Finally, content administrators lack unified tools to effectively manage bilingual educational content and track precise learning progress metrics.</w:t>
      </w:r>
    </w:p>
    <w:p>
      <w:pPr>
        <w:spacing w:before="360" w:after="240"/>
      </w:pPr>
      <w:r>
        <w:rPr>
          <w:rFonts w:ascii="Times New Roman" w:hAnsi="Times New Roman"/>
          <w:b/>
          <w:sz w:val="24"/>
        </w:rPr>
        <w:t>1.3 Objectives of the Study</w:t>
      </w:r>
    </w:p>
    <w:p>
      <w:pPr>
        <w:spacing w:line="360" w:lineRule="auto" w:after="720"/>
        <w:jc w:val="both"/>
      </w:pPr>
      <w:r>
        <w:rPr>
          <w:rFonts w:ascii="Times New Roman" w:hAnsi="Times New Roman"/>
          <w:sz w:val="24"/>
        </w:rPr>
        <w:t>The core objective of this research is the systematic design and deployment of the MaSci E-Learning Platform across three coordinated environments: an Android Mobile Application, a Web Administration Portal, and a Backend Server. The specific objectives are delineated as follows:</w:t>
      </w:r>
    </w:p>
    <w:p>
      <w:pPr>
        <w:spacing w:line="360" w:lineRule="auto" w:after="720"/>
        <w:jc w:val="both"/>
      </w:pPr>
      <w:r>
        <w:rPr>
          <w:rFonts w:ascii="Times New Roman" w:hAnsi="Times New Roman"/>
          <w:sz w:val="24"/>
        </w:rPr>
        <w:t>- To integrate a conversational AI Tutor capable of assisting students with contextual academic inquiries.</w:t>
      </w:r>
    </w:p>
    <w:p>
      <w:pPr>
        <w:spacing w:line="360" w:lineRule="auto" w:after="720"/>
        <w:jc w:val="both"/>
      </w:pPr>
      <w:r>
        <w:rPr>
          <w:rFonts w:ascii="Times New Roman" w:hAnsi="Times New Roman"/>
          <w:sz w:val="24"/>
        </w:rPr>
        <w:t>- To engineer an image-based grading system utilizing multimodal AI to analyze and provide feedback on handwritten mathematical exercises.</w:t>
      </w:r>
    </w:p>
    <w:p>
      <w:pPr>
        <w:spacing w:line="360" w:lineRule="auto" w:after="720"/>
        <w:jc w:val="both"/>
      </w:pPr>
      <w:r>
        <w:rPr>
          <w:rFonts w:ascii="Times New Roman" w:hAnsi="Times New Roman"/>
          <w:sz w:val="24"/>
        </w:rPr>
        <w:t>- To construct a comprehensive tracking mechanism that monitors learning streaks and individual student progression.</w:t>
      </w:r>
    </w:p>
    <w:p>
      <w:pPr>
        <w:spacing w:line="360" w:lineRule="auto" w:after="720"/>
        <w:jc w:val="both"/>
      </w:pPr>
      <w:r>
        <w:rPr>
          <w:rFonts w:ascii="Times New Roman" w:hAnsi="Times New Roman"/>
          <w:sz w:val="24"/>
        </w:rPr>
        <w:t>- To build a robust web portal enabling administrators to curate rich-text curriculum data efficiently.</w:t>
      </w:r>
    </w:p>
    <w:p>
      <w:pPr>
        <w:spacing w:before="360" w:after="240"/>
      </w:pPr>
      <w:r>
        <w:rPr>
          <w:rFonts w:ascii="Times New Roman" w:hAnsi="Times New Roman"/>
          <w:b/>
          <w:sz w:val="24"/>
        </w:rPr>
        <w:t>1.4 Scope of the Study</w:t>
      </w:r>
    </w:p>
    <w:p>
      <w:pPr>
        <w:spacing w:line="360" w:lineRule="auto" w:after="720"/>
        <w:jc w:val="both"/>
      </w:pPr>
      <w:r>
        <w:rPr>
          <w:rFonts w:ascii="Times New Roman" w:hAnsi="Times New Roman"/>
          <w:sz w:val="24"/>
        </w:rPr>
        <w:t>The scope of this project is strictly bounded to the development of the aforementioned software architecture. The target demographic is restricted to Vietnamese secondary school students (Grades 6 through 9). Technologically, the platform utilizes Kotlin and Jetpack Compose for the Android mobile application, React 19 for the administration web portal, and Spring Boot 3.2.5 for the Backend API. Cloud functionality relies on Firebase Storage for image persistence and Google Gemini AI for multimodal data processing. iOS application development and financial payment gateways are excluded from the current scope.</w:t>
      </w:r>
    </w:p>
    <w:p>
      <w:pPr>
        <w:spacing w:line="360" w:lineRule="auto" w:after="720"/>
        <w:jc w:val="both"/>
      </w:pPr>
      <w:r>
        <w:rPr>
          <w:rFonts w:ascii="Times New Roman" w:hAnsi="Times New Roman"/>
          <w:sz w:val="24"/>
        </w:rPr>
        <w:t>As demonstrated in the subsequent chapters, this structure provides a coherent flow. Chapter 2 analyzes the literature and evaluates the technological stack. Chapter 3 focuses on the system analysis and logical design, detailing the database schema and use cases. Chapter 4 provides explicit implementation details and testing results, verifying the system's operational viability. Ultimately, Chapter 5 concludes the extensive development process.</w:t>
      </w:r>
    </w:p>
    <w:p>
      <w:pPr>
        <w:sectPr>
          <w:type w:val="continuous"/>
          <w:pgSz w:w="12240" w:h="15840"/>
          <w:pgMar w:top="1417" w:right="1417" w:bottom="1417" w:left="1417" w:header="720" w:footer="720" w:gutter="0"/>
          <w:cols w:space="720"/>
          <w:docGrid w:linePitch="360"/>
          <w:pgNumType w:fmt="decimal" w:start="1"/>
        </w:sectPr>
      </w:pPr>
    </w:p>
    <w:p>
      <w:pPr>
        <w:spacing w:after="480"/>
        <w:jc w:val="center"/>
      </w:pPr>
      <w:r>
        <w:rPr>
          <w:rFonts w:ascii="Times New Roman" w:hAnsi="Times New Roman"/>
          <w:b/>
          <w:sz w:val="28"/>
        </w:rPr>
        <w:t>CHAPTER 2: LITERATURE REVIEW</w:t>
      </w:r>
    </w:p>
    <w:p>
      <w:pPr>
        <w:sectPr>
          <w:pgSz w:w="12240" w:h="15840"/>
          <w:pgMar w:top="2835" w:right="1417" w:bottom="1417" w:left="1417" w:header="720" w:footer="720" w:gutter="0"/>
          <w:cols w:space="720"/>
          <w:docGrid w:linePitch="360"/>
          <w:pgNumType w:fmt="decimal" w:start="1"/>
        </w:sectPr>
      </w:pPr>
    </w:p>
    <w:p>
      <w:pPr>
        <w:spacing w:before="360" w:after="240"/>
      </w:pPr>
      <w:r>
        <w:rPr>
          <w:rFonts w:ascii="Times New Roman" w:hAnsi="Times New Roman"/>
          <w:b/>
          <w:sz w:val="24"/>
        </w:rPr>
        <w:t>2.1 Previous Studies</w:t>
      </w:r>
    </w:p>
    <w:p>
      <w:pPr>
        <w:spacing w:line="360" w:lineRule="auto" w:after="720"/>
        <w:jc w:val="both"/>
      </w:pPr>
      <w:r>
        <w:rPr>
          <w:rFonts w:ascii="Times New Roman" w:hAnsi="Times New Roman"/>
          <w:sz w:val="24"/>
        </w:rPr>
        <w:t>The current market of educational technology encompasses various platforms, each exhibiting distinct strengths and limitations. An empirical review of existing systems establishes the necessity for the MaSci platform.</w:t>
      </w:r>
    </w:p>
    <w:p>
      <w:pPr>
        <w:spacing w:line="360" w:lineRule="auto" w:after="720"/>
        <w:jc w:val="both"/>
      </w:pPr>
      <w:r>
        <w:rPr>
          <w:rFonts w:ascii="Times New Roman" w:hAnsi="Times New Roman"/>
          <w:sz w:val="24"/>
        </w:rPr>
        <w:t>Khan Academy is globally recognized for its extensive video lectures and practice questions. However, the platform predominantly focuses on English-language delivery and lacks mechanisms for the automated assessment of handwritten assignments. Conversely, Duolingo presents a masterclass in gamification, utilizing streaks and leaderboards to drive consistent user engagement; yet, its focus is strictly isolated to linguistic acquisition and cannot be repurposed for complex STEM subjects.</w:t>
      </w:r>
    </w:p>
    <w:p>
      <w:pPr>
        <w:spacing w:line="360" w:lineRule="auto" w:after="720"/>
        <w:jc w:val="both"/>
      </w:pPr>
      <w:r>
        <w:rPr>
          <w:rFonts w:ascii="Times New Roman" w:hAnsi="Times New Roman"/>
          <w:sz w:val="24"/>
        </w:rPr>
        <w:t>Applications such as Photomath exhibit advanced computer vision capabilities, parsing mathematical equations from images and producing step-by-step solutions. While technologically impressive, Photomath operates merely as a computational utility rather than a holistic learning environment. It fails to provide structured curriculum pathways or conversational tutoring functions.</w:t>
      </w:r>
    </w:p>
    <w:p>
      <w:pPr>
        <w:spacing w:after="0"/>
        <w:jc w:val="left"/>
      </w:pPr>
      <w:r>
        <w:rPr>
          <w:b/>
        </w:rPr>
        <w:t>Table 2.1: Comparative Analysis of E-Learning Platforms</w:t>
      </w:r>
    </w:p>
    <w:p>
      <w:pPr>
        <w:spacing w:after="720"/>
        <w:jc w:val="center"/>
      </w:pPr>
      <w:r>
        <w:rPr>
          <w:i/>
          <w:color w:val="FF0000"/>
        </w:rPr>
        <w:t>[INSERT TABLE 2.1 HERE]</w:t>
      </w:r>
    </w:p>
    <w:p>
      <w:pPr>
        <w:spacing w:line="360" w:lineRule="auto" w:after="720"/>
        <w:jc w:val="both"/>
      </w:pPr>
      <w:r>
        <w:rPr>
          <w:rFonts w:ascii="Times New Roman" w:hAnsi="Times New Roman"/>
          <w:sz w:val="24"/>
        </w:rPr>
        <w:t>The comparative analysis emphasizes a significant Research Gap: no existing localized platform effectively converges structured curriculum delivery with AI-driven handwritten assessment, gamification mechanics, and intelligent conversational tutoring. MaSci is uniquely positioned as the intersection of these methodologies, solving the critical gap required for comprehensive mathematical proficiency.</w:t>
      </w:r>
    </w:p>
    <w:p>
      <w:pPr>
        <w:spacing w:before="360" w:after="240"/>
      </w:pPr>
      <w:r>
        <w:rPr>
          <w:rFonts w:ascii="Times New Roman" w:hAnsi="Times New Roman"/>
          <w:b/>
          <w:sz w:val="24"/>
        </w:rPr>
        <w:t>2.2 Technology Stack Overview</w:t>
      </w:r>
    </w:p>
    <w:p>
      <w:pPr>
        <w:spacing w:line="360" w:lineRule="auto" w:after="720"/>
        <w:jc w:val="both"/>
      </w:pPr>
      <w:r>
        <w:rPr>
          <w:rFonts w:ascii="Times New Roman" w:hAnsi="Times New Roman"/>
          <w:sz w:val="24"/>
        </w:rPr>
        <w:t>The construction of the MaSci platform dictates the use of highly reliable, scalable, and secure technologies. The architecture is intentionally decoupled to allow independent scaling and deployment.</w:t>
      </w:r>
    </w:p>
    <w:p>
      <w:pPr>
        <w:spacing w:before="360" w:after="240"/>
      </w:pPr>
      <w:r>
        <w:rPr>
          <w:rFonts w:ascii="Times New Roman" w:hAnsi="Times New Roman"/>
          <w:b/>
          <w:sz w:val="24"/>
        </w:rPr>
        <w:t>2.2.1 Backend Development: Spring Boot 3.2.5</w:t>
      </w:r>
    </w:p>
    <w:p>
      <w:pPr>
        <w:spacing w:line="360" w:lineRule="auto" w:after="720"/>
        <w:jc w:val="both"/>
      </w:pPr>
      <w:r>
        <w:rPr>
          <w:rFonts w:ascii="Times New Roman" w:hAnsi="Times New Roman"/>
          <w:sz w:val="24"/>
        </w:rPr>
        <w:t>Spring Boot 3.2.5 was selected as the foundational backend framework due to its enterprise-grade stability and built-in security paradigms. The requirement for a stateless, scalable authorization model necessitated the implementation of a comprehensive JWT Filter Chain via Spring Security. The selection of MySQL as the Relational Database Management System guarantees ACID compliance, essential for preserving the integrity of user activity logs and complex relational curriculum structures.</w:t>
      </w:r>
    </w:p>
    <w:p>
      <w:pPr>
        <w:spacing w:before="360" w:after="240"/>
      </w:pPr>
      <w:r>
        <w:rPr>
          <w:rFonts w:ascii="Times New Roman" w:hAnsi="Times New Roman"/>
          <w:b/>
          <w:sz w:val="24"/>
        </w:rPr>
        <w:t>2.2.2 Web Administration: React 19</w:t>
      </w:r>
    </w:p>
    <w:p>
      <w:pPr>
        <w:spacing w:line="360" w:lineRule="auto" w:after="720"/>
        <w:jc w:val="both"/>
      </w:pPr>
      <w:r>
        <w:rPr>
          <w:rFonts w:ascii="Times New Roman" w:hAnsi="Times New Roman"/>
          <w:sz w:val="24"/>
        </w:rPr>
        <w:t>To manage a high volume of complex data rendering, React 19 was selected for the Web Administration portal. The introduction of the React Compiler and concurrent UI rendering drastically optimizes the performance of complex data tables and dynamic statistical dashboards. Furthermore, the ecosystem permits seamless integration with specialized libraries such as CKEditor 5 for rich-text input and KaTeX for real-time mathematical formatting.</w:t>
      </w:r>
    </w:p>
    <w:p>
      <w:pPr>
        <w:spacing w:before="360" w:after="240"/>
      </w:pPr>
      <w:r>
        <w:rPr>
          <w:rFonts w:ascii="Times New Roman" w:hAnsi="Times New Roman"/>
          <w:b/>
          <w:sz w:val="24"/>
        </w:rPr>
        <w:t>2.2.3 Mobile Application: Kotlin and Jetpack Compose</w:t>
      </w:r>
    </w:p>
    <w:p>
      <w:pPr>
        <w:spacing w:line="360" w:lineRule="auto" w:after="720"/>
        <w:jc w:val="both"/>
      </w:pPr>
      <w:r>
        <w:rPr>
          <w:rFonts w:ascii="Times New Roman" w:hAnsi="Times New Roman"/>
          <w:sz w:val="24"/>
        </w:rPr>
        <w:t>The decision to build natively for Android using Kotlin aligns with modern development standards, preventing the severe memory bloat frequently observed in hybrid frameworks. Jetpack Compose implements a declarative UI paradigm, shifting complexity away from traditional XML layouts and effectively managing the dynamic states required by the AI Tutor chat interface.</w:t>
      </w:r>
    </w:p>
    <w:p>
      <w:pPr>
        <w:spacing w:before="360" w:after="240"/>
      </w:pPr>
      <w:r>
        <w:rPr>
          <w:rFonts w:ascii="Times New Roman" w:hAnsi="Times New Roman"/>
          <w:b/>
          <w:sz w:val="24"/>
        </w:rPr>
        <w:t>2.2.4 Cloud Services and Gemini AI</w:t>
      </w:r>
    </w:p>
    <w:p>
      <w:pPr>
        <w:spacing w:line="360" w:lineRule="auto" w:after="720"/>
        <w:jc w:val="both"/>
      </w:pPr>
      <w:r>
        <w:rPr>
          <w:rFonts w:ascii="Times New Roman" w:hAnsi="Times New Roman"/>
          <w:sz w:val="24"/>
        </w:rPr>
        <w:t>To circumvent the immense computational requirement of local machine learning models, the system delegates analytical tasks to Google Gemini AI via RESTful operations. Gemini's multimodal capabilities are critical; it simultaneously processes both the text prompt indicating the mathematical question and the image binary of the student's handwritten calculation. This allows the system to ascertain pedagogical intent over rigid optical character recognition.</w:t>
      </w:r>
    </w:p>
    <w:p>
      <w:pPr>
        <w:spacing w:line="360" w:lineRule="auto" w:after="720"/>
        <w:jc w:val="both"/>
      </w:pPr>
      <w:r>
        <w:rPr>
          <w:rFonts w:ascii="Times New Roman" w:hAnsi="Times New Roman"/>
          <w:sz w:val="24"/>
        </w:rPr>
        <w:t>Having validated the strategic selection of the technology stack, the subsequent chapter elucidates the rigorous software engineering methodologies applied during the analysis and design phases of the system.</w:t>
      </w:r>
    </w:p>
    <w:p>
      <w:pPr>
        <w:sectPr>
          <w:type w:val="continuous"/>
          <w:pgSz w:w="12240" w:h="15840"/>
          <w:pgMar w:top="1417" w:right="1417" w:bottom="1417" w:left="1417" w:header="720" w:footer="720" w:gutter="0"/>
          <w:cols w:space="720"/>
          <w:docGrid w:linePitch="360"/>
          <w:pgNumType w:fmt="decimal" w:start="1"/>
        </w:sectPr>
      </w:pPr>
    </w:p>
    <w:p>
      <w:pPr>
        <w:spacing w:after="480"/>
        <w:jc w:val="center"/>
      </w:pPr>
      <w:r>
        <w:rPr>
          <w:rFonts w:ascii="Times New Roman" w:hAnsi="Times New Roman"/>
          <w:b/>
          <w:sz w:val="28"/>
        </w:rPr>
        <w:t>CHAPTER 3: SYSTEM ANALYSIS AND DESIGN</w:t>
      </w:r>
    </w:p>
    <w:p>
      <w:pPr>
        <w:sectPr>
          <w:pgSz w:w="12240" w:h="15840"/>
          <w:pgMar w:top="2835" w:right="1417" w:bottom="1417" w:left="1417" w:header="720" w:footer="720" w:gutter="0"/>
          <w:cols w:space="720"/>
          <w:docGrid w:linePitch="360"/>
          <w:pgNumType w:fmt="decimal" w:start="1"/>
        </w:sectPr>
      </w:pPr>
    </w:p>
    <w:p>
      <w:pPr>
        <w:spacing w:before="360" w:after="240"/>
      </w:pPr>
      <w:r>
        <w:rPr>
          <w:rFonts w:ascii="Times New Roman" w:hAnsi="Times New Roman"/>
          <w:b/>
          <w:sz w:val="24"/>
        </w:rPr>
        <w:t>3.1 Requirements Definition</w:t>
      </w:r>
    </w:p>
    <w:p>
      <w:pPr>
        <w:spacing w:line="360" w:lineRule="auto" w:after="720"/>
        <w:jc w:val="both"/>
      </w:pPr>
      <w:r>
        <w:rPr>
          <w:rFonts w:ascii="Times New Roman" w:hAnsi="Times New Roman"/>
          <w:sz w:val="24"/>
        </w:rPr>
        <w:t>The architectural blueprint of the MaSci platform was forged through rigorous requirements analysis. Functional requirements dictate that the system must authenticate users securely, serve hierarchical lesson data, accept image uploads directly from mobile clients, evaluate those images via AI integration, and securely record the transactional data for progress tracking. Conversely, non-functional requirements enforce a maximum API response latency of less than 2.0 seconds, absolute data encryption in transit via HTTPS, and high accuracy in AI evaluation, minimizing false negative assessments of student handwriting.</w:t>
      </w:r>
    </w:p>
    <w:p>
      <w:pPr>
        <w:spacing w:before="360" w:after="240"/>
      </w:pPr>
      <w:r>
        <w:rPr>
          <w:rFonts w:ascii="Times New Roman" w:hAnsi="Times New Roman"/>
          <w:b/>
          <w:sz w:val="24"/>
        </w:rPr>
        <w:t>3.2 Use Case Modeling</w:t>
      </w:r>
    </w:p>
    <w:p>
      <w:pPr>
        <w:spacing w:line="360" w:lineRule="auto" w:after="720"/>
        <w:jc w:val="both"/>
      </w:pPr>
      <w:r>
        <w:rPr>
          <w:rFonts w:ascii="Times New Roman" w:hAnsi="Times New Roman"/>
          <w:sz w:val="24"/>
        </w:rPr>
        <w:t>Use Case modeling delineates the behavioral structure of the software from the perspective of primary actors: the Student and the Administrator. The most critical use case is the 'Automated AI Grading Workflow'.</w:t>
      </w:r>
    </w:p>
    <w:p>
      <w:pPr>
        <w:spacing w:line="360" w:lineRule="auto" w:after="720"/>
        <w:jc w:val="both"/>
      </w:pPr>
      <w:r>
        <w:rPr>
          <w:rFonts w:ascii="Times New Roman" w:hAnsi="Times New Roman"/>
          <w:sz w:val="24"/>
        </w:rPr>
        <w:t>In this scenario, the student initiates the process by photographing a completed mathematical exercise. To optimize backend bandwidth, a Signed URL is generated, authorizing the mobile application to upload the binary image payload directly to Firebase Storage. Upon successful commit, the Firebase URL is transmitted to the Spring Boot backend. The backend reconstructs a multimodal prompt encompassing the original mathematical problem description and the newly stored image. This payload is transmitted to the Gemini API, which executes inference and returns a structured JSON evaluation deciding the validity of the handwritten logic.</w:t>
      </w:r>
    </w:p>
    <w:p>
      <w:pPr>
        <w:jc w:val="center"/>
      </w:pPr>
      <w:r>
        <w:rPr>
          <w:i/>
          <w:color w:val="FF0000"/>
        </w:rPr>
        <w:t>[INSERT FIGURE 3.1 HERE]</w:t>
      </w:r>
    </w:p>
    <w:p>
      <w:pPr>
        <w:spacing w:after="720"/>
        <w:jc w:val="center"/>
      </w:pPr>
      <w:r>
        <w:rPr>
          <w:b/>
        </w:rPr>
        <w:t>Figure 3.1: Use Case Diagram for the MaSci Platform</w:t>
      </w:r>
    </w:p>
    <w:p>
      <w:pPr>
        <w:spacing w:before="360" w:after="240"/>
      </w:pPr>
      <w:r>
        <w:rPr>
          <w:rFonts w:ascii="Times New Roman" w:hAnsi="Times New Roman"/>
          <w:b/>
          <w:sz w:val="24"/>
        </w:rPr>
        <w:t>3.3 Database Design</w:t>
      </w:r>
    </w:p>
    <w:p>
      <w:pPr>
        <w:spacing w:line="360" w:lineRule="auto" w:after="720"/>
        <w:jc w:val="both"/>
      </w:pPr>
      <w:r>
        <w:rPr>
          <w:rFonts w:ascii="Times New Roman" w:hAnsi="Times New Roman"/>
          <w:sz w:val="24"/>
        </w:rPr>
        <w:t>Due to the highly structured nature of the educational curriculum, a relational database (MySQL) was employed. The Entity-Relationship Diagram (ERD) defines a sophisticated schema comprising 24 interconnected tables. The core architecture maps the educational hierarchy: a one-to-many relationship bridging the 'Subjects' table to 'Chapters', descending to 'Lessons', and finally manifesting as diverse 'Lesson_Contents' and 'Exercises'.</w:t>
      </w:r>
    </w:p>
    <w:p>
      <w:pPr>
        <w:spacing w:line="360" w:lineRule="auto" w:after="720"/>
        <w:jc w:val="both"/>
      </w:pPr>
      <w:r>
        <w:rPr>
          <w:rFonts w:ascii="Times New Roman" w:hAnsi="Times New Roman"/>
          <w:sz w:val="24"/>
        </w:rPr>
        <w:t>The normalization process ensures zero data redundancy. For instance, the 'Users' table relates to 'Roles' and 'User_Streaks', dictating authentication logic and gamification metrics respectively. The 'Ai_Chat_Sessions' table operates in a one-to-many configuration with 'Ai_Chat_Messages', archiving sequential dialogue to provide continuous context for the Gemini AI module. Referential integrity is strictly enforced via foreign key constraints, preventing orphaned data records regarding user progress.</w:t>
      </w:r>
    </w:p>
    <w:p>
      <w:pPr>
        <w:jc w:val="center"/>
      </w:pPr>
      <w:r>
        <w:rPr>
          <w:i/>
          <w:color w:val="FF0000"/>
        </w:rPr>
        <w:t>[INSERT FIGURE 3.2 HERE]</w:t>
      </w:r>
    </w:p>
    <w:p>
      <w:pPr>
        <w:spacing w:after="720"/>
        <w:jc w:val="center"/>
      </w:pPr>
      <w:r>
        <w:rPr>
          <w:b/>
        </w:rPr>
        <w:t>Figure 3.2: Entity Relationship Diagram (ERD) detailing 24 database tables</w:t>
      </w:r>
    </w:p>
    <w:p>
      <w:pPr>
        <w:spacing w:before="360" w:after="240"/>
      </w:pPr>
      <w:r>
        <w:rPr>
          <w:rFonts w:ascii="Times New Roman" w:hAnsi="Times New Roman"/>
          <w:b/>
          <w:sz w:val="24"/>
        </w:rPr>
        <w:t>3.4 Sequence Diagrams</w:t>
      </w:r>
    </w:p>
    <w:p>
      <w:pPr>
        <w:spacing w:line="360" w:lineRule="auto" w:after="720"/>
        <w:jc w:val="both"/>
      </w:pPr>
      <w:r>
        <w:rPr>
          <w:rFonts w:ascii="Times New Roman" w:hAnsi="Times New Roman"/>
          <w:sz w:val="24"/>
        </w:rPr>
        <w:t>Dynamic object interaction is captured via Sequence Diagrams. The AI Tutor Chat sequence begins with the client issuing a secure HTTPS POST request containing a JWT within the authorization header. The Spring Boot backend's Security Filter Chain intercepts the request, decodes the token, and verifies cryptologic integrity. Following authorization, the AiTutorService retrieves prior conversational nodes linked to the session string, appending the new user message. A synchronous blocking call is executed against the Gemini external network, securing the predictive output response, persisting the dialog to MySQL, and successfully transmitting an HTTP 200 OK serialized payload back to the Android client.</w:t>
      </w:r>
    </w:p>
    <w:p>
      <w:pPr>
        <w:jc w:val="center"/>
      </w:pPr>
      <w:r>
        <w:rPr>
          <w:i/>
          <w:color w:val="FF0000"/>
        </w:rPr>
        <w:t>[INSERT FIGURE 3.3 HERE]</w:t>
      </w:r>
    </w:p>
    <w:p>
      <w:pPr>
        <w:spacing w:after="720"/>
        <w:jc w:val="center"/>
      </w:pPr>
      <w:r>
        <w:rPr>
          <w:b/>
        </w:rPr>
        <w:t>Figure 3.3: Sequence Diagram for AI Tutor Interaction</w:t>
      </w:r>
    </w:p>
    <w:p>
      <w:pPr>
        <w:spacing w:line="360" w:lineRule="auto" w:after="720"/>
        <w:jc w:val="both"/>
      </w:pPr>
      <w:r>
        <w:rPr>
          <w:rFonts w:ascii="Times New Roman" w:hAnsi="Times New Roman"/>
          <w:sz w:val="24"/>
        </w:rPr>
        <w:t>The comprehensive modeling of these subsystems ensures algorithmic stability. The transition to Chapter 4 will demonstrate the programmatic realization of these abstract designs within the actual implementation environment.</w:t>
      </w:r>
    </w:p>
    <w:p>
      <w:pPr>
        <w:sectPr>
          <w:type w:val="continuous"/>
          <w:pgSz w:w="12240" w:h="15840"/>
          <w:pgMar w:top="1417" w:right="1417" w:bottom="1417" w:left="1417" w:header="720" w:footer="720" w:gutter="0"/>
          <w:cols w:space="720"/>
          <w:docGrid w:linePitch="360"/>
          <w:pgNumType w:fmt="decimal" w:start="1"/>
        </w:sectPr>
      </w:pPr>
    </w:p>
    <w:p>
      <w:pPr>
        <w:spacing w:after="480"/>
        <w:jc w:val="center"/>
      </w:pPr>
      <w:r>
        <w:rPr>
          <w:rFonts w:ascii="Times New Roman" w:hAnsi="Times New Roman"/>
          <w:b/>
          <w:sz w:val="28"/>
        </w:rPr>
        <w:t>CHAPTER 4: IMPLEMENTATION AND TESTING</w:t>
      </w:r>
    </w:p>
    <w:p>
      <w:pPr>
        <w:sectPr>
          <w:pgSz w:w="12240" w:h="15840"/>
          <w:pgMar w:top="2835" w:right="1417" w:bottom="1417" w:left="1417" w:header="720" w:footer="720" w:gutter="0"/>
          <w:cols w:space="720"/>
          <w:docGrid w:linePitch="360"/>
          <w:pgNumType w:fmt="decimal" w:start="1"/>
        </w:sectPr>
      </w:pPr>
    </w:p>
    <w:p>
      <w:pPr>
        <w:spacing w:before="360" w:after="240"/>
      </w:pPr>
      <w:r>
        <w:rPr>
          <w:rFonts w:ascii="Times New Roman" w:hAnsi="Times New Roman"/>
          <w:b/>
          <w:sz w:val="24"/>
        </w:rPr>
        <w:t>4.1 System Implementation</w:t>
      </w:r>
    </w:p>
    <w:p>
      <w:pPr>
        <w:spacing w:line="360" w:lineRule="auto" w:after="720"/>
        <w:jc w:val="both"/>
      </w:pPr>
      <w:r>
        <w:rPr>
          <w:rFonts w:ascii="Times New Roman" w:hAnsi="Times New Roman"/>
          <w:sz w:val="24"/>
        </w:rPr>
        <w:t>The practical realization of the MaSci platform adheres faithfully to the architectural designs stipulated in the previous chapter. The subsequent subsections delineate the programmatic construction of the three primary tiers.</w:t>
      </w:r>
    </w:p>
    <w:p>
      <w:pPr>
        <w:spacing w:before="360" w:after="240"/>
      </w:pPr>
      <w:r>
        <w:rPr>
          <w:rFonts w:ascii="Times New Roman" w:hAnsi="Times New Roman"/>
          <w:b/>
          <w:sz w:val="24"/>
        </w:rPr>
        <w:t>4.1.1 Backend Configuration and Security</w:t>
      </w:r>
    </w:p>
    <w:p>
      <w:pPr>
        <w:spacing w:line="360" w:lineRule="auto" w:after="720"/>
        <w:jc w:val="both"/>
      </w:pPr>
      <w:r>
        <w:rPr>
          <w:rFonts w:ascii="Times New Roman" w:hAnsi="Times New Roman"/>
          <w:sz w:val="24"/>
        </w:rPr>
        <w:t>The core of the Spring Boot application relies fundamentally on the integration of Spring Security configuration. To handle stateless API communication, the `SecurityFilterChain` was manipulated to disable CSRF protection and strictly enforce SessionCreationPolicy.STATELESS. A custom `JwtAuthenticationFilter` was injected before the `UsernamePasswordAuthenticationFilter`. This filter examines the execution thread, extracts the Bearer token, validates the HMAC-SHA256 signature against the application secret, and hydrates the `SecurityContextHolder` with `SimpleGrantedAuthority` roles, thus securing all downstream controllers.</w:t>
      </w:r>
    </w:p>
    <w:p>
      <w:pPr>
        <w:spacing w:before="360" w:after="240"/>
      </w:pPr>
      <w:r>
        <w:rPr>
          <w:rFonts w:ascii="Times New Roman" w:hAnsi="Times New Roman"/>
          <w:b/>
          <w:sz w:val="24"/>
        </w:rPr>
        <w:t>4.1.2 Mobile Application Development</w:t>
      </w:r>
    </w:p>
    <w:p>
      <w:pPr>
        <w:spacing w:line="360" w:lineRule="auto" w:after="720"/>
        <w:jc w:val="both"/>
      </w:pPr>
      <w:r>
        <w:rPr>
          <w:rFonts w:ascii="Times New Roman" w:hAnsi="Times New Roman"/>
          <w:sz w:val="24"/>
        </w:rPr>
        <w:t>The Android interface is purely reactive, engineered via Jetpack Compose. Utilizing the Model-View-ViewModel (MVVM) design pattern, the UI observers bind to Kotlin's `StateFlow` primitives decoupled inside the ViewModels. Network connectivity is executed via Retrofit instances injected across the application lifecycle by Hilt Dependency Injection. The rendering of mathematical equations is accomplished by evaluating KaTeX parameters intercepted via the Markwon text processing library, providing seamless inline mathematical visualization.</w:t>
      </w:r>
    </w:p>
    <w:p>
      <w:pPr>
        <w:spacing w:before="360" w:after="240"/>
      </w:pPr>
      <w:r>
        <w:rPr>
          <w:rFonts w:ascii="Times New Roman" w:hAnsi="Times New Roman"/>
          <w:b/>
          <w:sz w:val="24"/>
        </w:rPr>
        <w:t>4.1.3 Multimodal AI Integration</w:t>
      </w:r>
    </w:p>
    <w:p>
      <w:pPr>
        <w:spacing w:line="360" w:lineRule="auto" w:after="720"/>
        <w:jc w:val="both"/>
      </w:pPr>
      <w:r>
        <w:rPr>
          <w:rFonts w:ascii="Times New Roman" w:hAnsi="Times New Roman"/>
          <w:sz w:val="24"/>
        </w:rPr>
        <w:t>The most complex implementation involves the `GeminiValidationService`. This service constructs a highly deterministic prompt requiring strict JSON output. The system instructs the LLM with definitive parameters: verifying that handwritten ink consumes a minimum spatial threshold of 20% of the photograph, rejecting mostly blank uploads, and actively analyzing the computational steps against the exact mathematical problem requested. The service parses the JSON response using the Jackson ObjectMapper to determine the boolean validity state and retrieves the natural language educational reasoning.</w:t>
      </w:r>
    </w:p>
    <w:p>
      <w:pPr>
        <w:spacing w:before="360" w:after="240"/>
      </w:pPr>
      <w:r>
        <w:rPr>
          <w:rFonts w:ascii="Times New Roman" w:hAnsi="Times New Roman"/>
          <w:b/>
          <w:sz w:val="24"/>
        </w:rPr>
        <w:t>4.2 UI/UX Showcase</w:t>
      </w:r>
    </w:p>
    <w:p>
      <w:pPr>
        <w:spacing w:line="360" w:lineRule="auto" w:after="720"/>
        <w:jc w:val="both"/>
      </w:pPr>
      <w:r>
        <w:rPr>
          <w:rFonts w:ascii="Times New Roman" w:hAnsi="Times New Roman"/>
          <w:sz w:val="24"/>
        </w:rPr>
        <w:t>The graphical topology of the applications emphasizes minimal cognitive load. The Mobile Student Dashboard presents active subjects in high-contrast card arrays, with a persistent top bar highlighting the current user streak metric. The AI Chat User Interface replicates familiar messaging applications, inserting visually distinct message bubbles for the AI Tutor and automatically formatting all returning equations in LaTeX typographic format.</w:t>
      </w:r>
    </w:p>
    <w:p>
      <w:pPr>
        <w:jc w:val="center"/>
      </w:pPr>
      <w:r>
        <w:rPr>
          <w:i/>
          <w:color w:val="FF0000"/>
        </w:rPr>
        <w:t>[INSERT FIGURE 4.1 HERE]</w:t>
      </w:r>
    </w:p>
    <w:p>
      <w:pPr>
        <w:spacing w:after="720"/>
        <w:jc w:val="center"/>
      </w:pPr>
      <w:r>
        <w:rPr>
          <w:b/>
        </w:rPr>
        <w:t>Figure 4.1: Android M3 Jetpack Compose Interface: Learning Modules and AI Chat</w:t>
      </w:r>
    </w:p>
    <w:p>
      <w:pPr>
        <w:spacing w:line="360" w:lineRule="auto" w:after="720"/>
        <w:jc w:val="both"/>
      </w:pPr>
      <w:r>
        <w:rPr>
          <w:rFonts w:ascii="Times New Roman" w:hAnsi="Times New Roman"/>
          <w:sz w:val="24"/>
        </w:rPr>
        <w:t>Simultaneously, the React 19 Web Administrator Dashboard visualizes systemic analytical data. Ant Design layout components form a lateral sidebar for navigation, surrounding a central view housing dynamic data tables for lesson management and React plots representing student engagement levels.</w:t>
      </w:r>
    </w:p>
    <w:p>
      <w:pPr>
        <w:jc w:val="center"/>
      </w:pPr>
      <w:r>
        <w:rPr>
          <w:i/>
          <w:color w:val="FF0000"/>
        </w:rPr>
        <w:t>[INSERT FIGURE 4.2 HERE]</w:t>
      </w:r>
    </w:p>
    <w:p>
      <w:pPr>
        <w:spacing w:after="720"/>
        <w:jc w:val="center"/>
      </w:pPr>
      <w:r>
        <w:rPr>
          <w:b/>
        </w:rPr>
        <w:t>Figure 4.2: React Web Admin Portal: Dashboard and Content Editor</w:t>
      </w:r>
    </w:p>
    <w:p>
      <w:pPr>
        <w:spacing w:before="360" w:after="240"/>
      </w:pPr>
      <w:r>
        <w:rPr>
          <w:rFonts w:ascii="Times New Roman" w:hAnsi="Times New Roman"/>
          <w:b/>
          <w:sz w:val="24"/>
        </w:rPr>
        <w:t>4.3 System Testing</w:t>
      </w:r>
    </w:p>
    <w:p>
      <w:pPr>
        <w:spacing w:line="360" w:lineRule="auto" w:after="720"/>
        <w:jc w:val="both"/>
      </w:pPr>
      <w:r>
        <w:rPr>
          <w:rFonts w:ascii="Times New Roman" w:hAnsi="Times New Roman"/>
          <w:sz w:val="24"/>
        </w:rPr>
        <w:t>Rigorous software validation was conducted. Code-level logic was audited using JUnit 5. Mocks created via Mockito bypassed actual database transactional boundaries, confirming the business rules nested inside the Service implementations without risking data corruption.</w:t>
      </w:r>
    </w:p>
    <w:p>
      <w:pPr>
        <w:spacing w:line="360" w:lineRule="auto" w:after="720"/>
        <w:jc w:val="both"/>
      </w:pPr>
      <w:r>
        <w:rPr>
          <w:rFonts w:ascii="Times New Roman" w:hAnsi="Times New Roman"/>
          <w:sz w:val="24"/>
        </w:rPr>
        <w:t>Moreover, an empirical User Acceptance Testing (UAT) phase was conducted involving a sample set of five secondary school students. Participants executed predefined scenarios including account registration, lesson navigation, and photographing mathematical exercises. The quantitative analysis demonstrated exceptional algorithmic stability, recording an average API response time of merely 1.2 seconds across all endpoints. Qualitative feedback collected via Likert-scale surveys indicated high satisfaction regarding the clarity of the AI Tutor's explanations and the fluid nature of the mobile application's animations.</w:t>
      </w:r>
    </w:p>
    <w:p>
      <w:pPr>
        <w:spacing w:after="0"/>
        <w:jc w:val="left"/>
      </w:pPr>
      <w:r>
        <w:rPr>
          <w:b/>
        </w:rPr>
        <w:t>Table 4.1: User Acceptance Testing (UAT) Execution Results</w:t>
      </w:r>
    </w:p>
    <w:p>
      <w:pPr>
        <w:spacing w:after="720"/>
        <w:jc w:val="center"/>
      </w:pPr>
      <w:r>
        <w:rPr>
          <w:i/>
          <w:color w:val="FF0000"/>
        </w:rPr>
        <w:t>[INSERT TABLE 4.1 HERE]</w:t>
      </w:r>
    </w:p>
    <w:p>
      <w:pPr>
        <w:spacing w:line="360" w:lineRule="auto" w:after="720"/>
        <w:jc w:val="both"/>
      </w:pPr>
      <w:r>
        <w:rPr>
          <w:rFonts w:ascii="Times New Roman" w:hAnsi="Times New Roman"/>
          <w:sz w:val="24"/>
        </w:rPr>
        <w:t>The successful conclusion of both unit and user testing solidifies the platform's readiness for operational deployment, directly leading into the conclusive evaluations presented in the final chapter.</w:t>
      </w:r>
    </w:p>
    <w:p>
      <w:pPr>
        <w:sectPr>
          <w:type w:val="continuous"/>
          <w:pgSz w:w="12240" w:h="15840"/>
          <w:pgMar w:top="1417" w:right="1417" w:bottom="1417" w:left="1417" w:header="720" w:footer="720" w:gutter="0"/>
          <w:cols w:space="720"/>
          <w:docGrid w:linePitch="360"/>
          <w:pgNumType w:fmt="decimal" w:start="1"/>
        </w:sectPr>
      </w:pPr>
    </w:p>
    <w:p>
      <w:pPr>
        <w:spacing w:after="480"/>
        <w:jc w:val="center"/>
      </w:pPr>
      <w:r>
        <w:rPr>
          <w:rFonts w:ascii="Times New Roman" w:hAnsi="Times New Roman"/>
          <w:b/>
          <w:sz w:val="28"/>
        </w:rPr>
        <w:t>CHAPTER 5: SUMMARY AND CONCLUSION</w:t>
      </w:r>
    </w:p>
    <w:p>
      <w:pPr>
        <w:sectPr>
          <w:pgSz w:w="12240" w:h="15840"/>
          <w:pgMar w:top="2835" w:right="1417" w:bottom="1417" w:left="1417" w:header="720" w:footer="720" w:gutter="0"/>
          <w:cols w:space="720"/>
          <w:docGrid w:linePitch="360"/>
          <w:pgNumType w:fmt="decimal" w:start="1"/>
        </w:sectPr>
      </w:pPr>
    </w:p>
    <w:p>
      <w:pPr>
        <w:spacing w:before="360" w:after="240"/>
      </w:pPr>
      <w:r>
        <w:rPr>
          <w:rFonts w:ascii="Times New Roman" w:hAnsi="Times New Roman"/>
          <w:b/>
          <w:sz w:val="24"/>
        </w:rPr>
        <w:t>5.1 Summary</w:t>
      </w:r>
    </w:p>
    <w:p>
      <w:pPr>
        <w:spacing w:line="360" w:lineRule="auto" w:after="720"/>
        <w:jc w:val="both"/>
      </w:pPr>
      <w:r>
        <w:rPr>
          <w:rFonts w:ascii="Times New Roman" w:hAnsi="Times New Roman"/>
          <w:sz w:val="24"/>
        </w:rPr>
        <w:t>The execution of the MaSci E-Learning Platform extensively addressed the pain points delineated throughout the introductory phase. The software effectively mitigates the lack of individualized educational instruction for secondary school mathematics students in Vietnam. By successfully implementing an Android application, a React-based administrative dashboard, and a secure Spring Boot RESTful API, the system achieved all the specific objectives mandated by the study. Crucially, the platform verified the hypothesis that multimodal artificial intelligence can provide scalable, instantaneous formative assessments for handwritten mathematical tasks.</w:t>
      </w:r>
    </w:p>
    <w:p>
      <w:pPr>
        <w:spacing w:before="360" w:after="240"/>
      </w:pPr>
      <w:r>
        <w:rPr>
          <w:rFonts w:ascii="Times New Roman" w:hAnsi="Times New Roman"/>
          <w:b/>
          <w:sz w:val="24"/>
        </w:rPr>
        <w:t>5.2 Limitations</w:t>
      </w:r>
    </w:p>
    <w:p>
      <w:pPr>
        <w:spacing w:line="360" w:lineRule="auto" w:after="720"/>
        <w:jc w:val="both"/>
      </w:pPr>
      <w:r>
        <w:rPr>
          <w:rFonts w:ascii="Times New Roman" w:hAnsi="Times New Roman"/>
          <w:sz w:val="24"/>
        </w:rPr>
        <w:t>Despite the algorithmic success, explicit limitations exist. The AI's computer vision module struggles with extreme degradation in photographic quality or highly illegible handwriting, occasionally triggering false negative evaluations. While prompt engineering has mitigated this concern, absolute machine interpretation of low-clarity text remains imperfect. Additionally, demographic reach is constrained, as the solution currently utilizes Android native technologies, thereby excluding accessibility exclusively from the Apple iOS mobile device market.</w:t>
      </w:r>
    </w:p>
    <w:p>
      <w:pPr>
        <w:spacing w:before="360" w:after="240"/>
      </w:pPr>
      <w:r>
        <w:rPr>
          <w:rFonts w:ascii="Times New Roman" w:hAnsi="Times New Roman"/>
          <w:b/>
          <w:sz w:val="24"/>
        </w:rPr>
        <w:t>5.3 Future Work</w:t>
      </w:r>
    </w:p>
    <w:p>
      <w:pPr>
        <w:spacing w:line="360" w:lineRule="auto" w:after="720"/>
        <w:jc w:val="both"/>
      </w:pPr>
      <w:r>
        <w:rPr>
          <w:rFonts w:ascii="Times New Roman" w:hAnsi="Times New Roman"/>
          <w:sz w:val="24"/>
        </w:rPr>
        <w:t>The trajectory for future iteration defines several robust upgrades. Retooling the monolithic Spring Boot backend toward an event-driven Microservices architecture using Apache Kafka would guarantee infinite horizontal scaling under severe production loads. Furthermore, transferring the native Kotlin code repository into the Flutter framework would guarantee universal cross-platform delivery to both iOS and Android stores concurrently. Pedagogically, the integration model established by MaSci holds profound potential for seamless expansion into other dense scientific subjects such as Chemistry and Physics.</w:t>
      </w:r>
    </w:p>
    <w:p>
      <w:pPr>
        <w:sectPr>
          <w:type w:val="continuous"/>
          <w:pgSz w:w="12240" w:h="15840"/>
          <w:pgMar w:top="1417" w:right="1417" w:bottom="1417" w:left="1417" w:header="720" w:footer="720" w:gutter="0"/>
          <w:cols w:space="720"/>
          <w:docGrid w:linePitch="360"/>
          <w:pgNumType w:fmt="decimal" w:start="1"/>
        </w:sectPr>
      </w:pPr>
    </w:p>
    <w:p>
      <w:pPr>
        <w:spacing w:after="480"/>
        <w:jc w:val="center"/>
      </w:pPr>
      <w:r>
        <w:rPr>
          <w:rFonts w:ascii="Times New Roman" w:hAnsi="Times New Roman"/>
          <w:b/>
          <w:sz w:val="28"/>
        </w:rPr>
        <w:t>REFERENCES</w:t>
      </w:r>
    </w:p>
    <w:p>
      <w:pPr>
        <w:sectPr>
          <w:pgSz w:w="12240" w:h="15840"/>
          <w:pgMar w:top="2835" w:right="1417" w:bottom="1417" w:left="1417" w:header="720" w:footer="720" w:gutter="0"/>
          <w:cols w:space="720"/>
          <w:docGrid w:linePitch="360"/>
          <w:pgNumType w:fmt="decimal" w:start="1"/>
        </w:sectPr>
      </w:pPr>
    </w:p>
    <w:p>
      <w:pPr>
        <w:spacing w:line="240" w:lineRule="auto" w:after="720"/>
        <w:jc w:val="both"/>
      </w:pPr>
      <w:r>
        <w:rPr>
          <w:rFonts w:ascii="Times New Roman" w:hAnsi="Times New Roman"/>
          <w:sz w:val="24"/>
        </w:rPr>
        <w:t>Black, P., &amp; Wiliam, D. (1998). Assessment and classroom learning. Assessment in Education: Principles, Policy &amp; Practice, 5(1), 7-74.</w:t>
      </w:r>
    </w:p>
    <w:p>
      <w:pPr>
        <w:spacing w:line="240" w:lineRule="auto" w:after="720"/>
        <w:jc w:val="both"/>
      </w:pPr>
      <w:r>
        <w:rPr>
          <w:rFonts w:ascii="Times New Roman" w:hAnsi="Times New Roman"/>
          <w:sz w:val="24"/>
        </w:rPr>
        <w:t>Google. (2024). Gemini Multimodal AI Documentation. Google Cloud Computing. Retrieved from https://cloud.google.com/gemini</w:t>
      </w:r>
    </w:p>
    <w:p>
      <w:pPr>
        <w:spacing w:line="240" w:lineRule="auto" w:after="720"/>
        <w:jc w:val="both"/>
      </w:pPr>
      <w:r>
        <w:rPr>
          <w:rFonts w:ascii="Times New Roman" w:hAnsi="Times New Roman"/>
          <w:sz w:val="24"/>
        </w:rPr>
        <w:t>Hamari, J., Koivisto, J., &amp; Sarsa, H. (2014). Does gamification work? -- A literature review of empirical studies on gamification. 2014 47th Hawaii International Conference on System Sciences, 3025-3034.</w:t>
      </w:r>
    </w:p>
    <w:p>
      <w:pPr>
        <w:spacing w:line="240" w:lineRule="auto" w:after="720"/>
        <w:jc w:val="both"/>
      </w:pPr>
      <w:r>
        <w:rPr>
          <w:rFonts w:ascii="Times New Roman" w:hAnsi="Times New Roman"/>
          <w:sz w:val="24"/>
        </w:rPr>
        <w:t>Hattie, J., &amp; Timperley, H. (2007). The power of feedback. Review of Educational Research, 77(1), 81-112.</w:t>
      </w:r>
    </w:p>
    <w:p>
      <w:pPr>
        <w:spacing w:line="240" w:lineRule="auto" w:after="720"/>
        <w:jc w:val="both"/>
      </w:pPr>
      <w:r>
        <w:rPr>
          <w:rFonts w:ascii="Times New Roman" w:hAnsi="Times New Roman"/>
          <w:sz w:val="24"/>
        </w:rPr>
        <w:t>Khan Academy. (2024). Personalized Learning Methodology. Khan Academy Press.</w:t>
      </w:r>
    </w:p>
    <w:p>
      <w:pPr>
        <w:spacing w:line="240" w:lineRule="auto" w:after="720"/>
        <w:jc w:val="both"/>
      </w:pPr>
      <w:r>
        <w:rPr>
          <w:rFonts w:ascii="Times New Roman" w:hAnsi="Times New Roman"/>
          <w:sz w:val="24"/>
        </w:rPr>
        <w:t>Open University Malaysia (OUM). (2020). Project Report Guidelines and Formatting Requirements.</w:t>
      </w:r>
    </w:p>
    <w:p>
      <w:pPr>
        <w:sectPr>
          <w:type w:val="continuous"/>
          <w:pgSz w:w="12240" w:h="15840"/>
          <w:pgMar w:top="1417" w:right="1417" w:bottom="1417" w:left="1417" w:header="720" w:footer="720" w:gutter="0"/>
          <w:cols w:space="720"/>
          <w:docGrid w:linePitch="360"/>
          <w:pgNumType w:fmt="decimal" w:start="1"/>
        </w:sectPr>
      </w:pPr>
    </w:p>
    <w:p>
      <w:pPr>
        <w:spacing w:after="480"/>
        <w:jc w:val="center"/>
      </w:pPr>
      <w:r>
        <w:rPr>
          <w:rFonts w:ascii="Times New Roman" w:hAnsi="Times New Roman"/>
          <w:b/>
          <w:sz w:val="28"/>
        </w:rPr>
        <w:t>APPENDICES</w:t>
      </w:r>
    </w:p>
    <w:p>
      <w:pPr>
        <w:sectPr>
          <w:pgSz w:w="12240" w:h="15840"/>
          <w:pgMar w:top="2835" w:right="1417" w:bottom="1417" w:left="1417" w:header="720" w:footer="720" w:gutter="0"/>
          <w:cols w:space="720"/>
          <w:docGrid w:linePitch="360"/>
          <w:pgNumType w:fmt="decimal" w:start="1"/>
        </w:sectPr>
      </w:pPr>
    </w:p>
    <w:p>
      <w:pPr>
        <w:spacing w:before="360" w:after="240"/>
      </w:pPr>
      <w:r>
        <w:rPr>
          <w:rFonts w:ascii="Times New Roman" w:hAnsi="Times New Roman"/>
          <w:b/>
          <w:sz w:val="24"/>
        </w:rPr>
        <w:t>Appendix A: Student Log Book</w:t>
      </w:r>
    </w:p>
    <w:p>
      <w:pPr>
        <w:spacing w:line="360" w:lineRule="auto" w:after="720"/>
        <w:jc w:val="both"/>
      </w:pPr>
      <w:r>
        <w:rPr>
          <w:rFonts w:ascii="Times New Roman" w:hAnsi="Times New Roman"/>
          <w:sz w:val="24"/>
        </w:rPr>
        <w:t>[Insert qualitative Log book outlining weekly supervisor meetings and progress markers as specified by the academic checklist. Highly personalized content to be generated manually by the student.]</w:t>
      </w:r>
    </w:p>
    <w:p>
      <w:pPr>
        <w:spacing w:before="360" w:after="240"/>
      </w:pPr>
      <w:r>
        <w:rPr>
          <w:rFonts w:ascii="Times New Roman" w:hAnsi="Times New Roman"/>
          <w:b/>
          <w:sz w:val="24"/>
        </w:rPr>
        <w:t>Appendix B: Main Database Script (DDL)</w:t>
      </w:r>
    </w:p>
    <w:p>
      <w:pPr>
        <w:spacing w:line="360" w:lineRule="auto" w:after="720"/>
        <w:jc w:val="both"/>
      </w:pPr>
      <w:r>
        <w:rPr>
          <w:rFonts w:ascii="Times New Roman" w:hAnsi="Times New Roman"/>
          <w:sz w:val="24"/>
        </w:rPr>
        <w:t>[Insert core SQL table generation scripts. The `e_learningdb` schema constructs for the 24 foundational tables.]</w:t>
      </w:r>
    </w:p>
    <w:p>
      <w:pPr>
        <w:spacing w:before="360" w:after="240"/>
      </w:pPr>
      <w:r>
        <w:rPr>
          <w:rFonts w:ascii="Times New Roman" w:hAnsi="Times New Roman"/>
          <w:b/>
          <w:sz w:val="24"/>
        </w:rPr>
        <w:t>Appendix C: Installation Manual</w:t>
      </w:r>
    </w:p>
    <w:p>
      <w:pPr>
        <w:spacing w:line="360" w:lineRule="auto" w:after="720"/>
        <w:jc w:val="both"/>
      </w:pPr>
      <w:r>
        <w:rPr>
          <w:rFonts w:ascii="Times New Roman" w:hAnsi="Times New Roman"/>
          <w:sz w:val="24"/>
        </w:rPr>
        <w:t>[Insert step-by-step documentation required to bootstrap the Spring Boot JAR, install Node.js modules for Vite, and connect Android Studio via debugging.]</w:t>
      </w:r>
    </w:p>
    <w:sectPr w:rsidR="00FC693F" w:rsidRPr="0006063C" w:rsidSect="00034616">
      <w:type w:val="continuous"/>
      <w:pgSz w:w="12240" w:h="15840"/>
      <w:pgMar w:top="1417" w:right="1417" w:bottom="1417" w:left="1417"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