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程序使用说明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硬件连接方式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模块与STM32F107的引脚连接如下所示: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MAX30102: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ESP8266: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RC522: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PULSE SENSOR:    DS18B20：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SCL    PB6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TX    PA10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SDA   PB12</w:t>
      </w:r>
      <w:r>
        <w:rPr>
          <w:rFonts w:hint="eastAsia"/>
          <w:lang w:val="en-US" w:eastAsia="zh-CN"/>
        </w:rPr>
        <w:tab/>
        <w:t>DATA   PA1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DATA  PC11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SDA    PB7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RX    PA9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SCK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PB13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   PB2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MOSI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PB15</w:t>
      </w:r>
    </w:p>
    <w:p>
      <w:pPr>
        <w:numPr>
          <w:ilvl w:val="0"/>
          <w:numId w:val="0"/>
        </w:numPr>
        <w:ind w:firstLine="3962" w:firstLineChars="1887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PB14</w:t>
      </w:r>
    </w:p>
    <w:p>
      <w:pPr>
        <w:numPr>
          <w:ilvl w:val="0"/>
          <w:numId w:val="0"/>
        </w:numPr>
        <w:ind w:left="336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PB1</w:t>
      </w:r>
    </w:p>
    <w:p>
      <w:pPr>
        <w:numPr>
          <w:ilvl w:val="0"/>
          <w:numId w:val="0"/>
        </w:numPr>
        <w:ind w:left="3360" w:leftChars="0" w:firstLine="630" w:firstLineChars="3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LCD:                COORDINATOR: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KEY: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P0.3     PA3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   PB4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   PB5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PD6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PD7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  PE0~PE15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     PB12~PB15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2、使用：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将所有的接线连接结束后，正式将程序烧录至STM32F107中，其烧录的过程不在赘述。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烧录后按复位键程序开始执行。由于程序总是从main函数开始执行，所以main函数中应该包括对所有外设的初始化。具体的初始化项目和初始化顺序根据使用设备的不同其过程也不同。以PULSE SENSOR为例。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516630"/>
            <wp:effectExtent l="0" t="0" r="6350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程序内部定义了一些变量存储后面取得的数据，其具体数据不在此赘述。变量定义结束后进入各个外设的初始化。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(1)、uart_init(115200);为串口1初始化的函数。因为串口1需要和ESP8266进行通信，而ESP8266的波特率固定为115200，所以串口波特率为115200。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(2)、UART2Init();为串口2的初始化函数。用于和蓝牙进行通信，波特率9200.原因同ESP8266。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(3)、delay_init();延时初始化，其中延时用到的时钟为SYSTEMTICK即系统节拍定时器。需要注意的是其延时的最长时间约为1.85S，即如果需要的延时大于1.85，请重复使用延时函数。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(4)、LED_Init();LED灯初始化。其用来表明系统正在运行或者其他的一些特征。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(5)、Timer_6_Init();TIME6初始化，主要用于PULSE SENSOR中的延时。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(6)、ADC_AN2_Init();ADC初始化，主要PULSE SENSOR采集的模拟信号转换为数字信号，将其绘制成心电图，同时转换后的数字信号然后通过算法计算出心率、心跳间隔。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(7)、KEY_Init();按键初始化。主要用于将采集后的数据通过按键这一特定的操作发送到云端。</w:t>
      </w:r>
    </w:p>
    <w:p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(8)、</w:t>
      </w:r>
      <w:r>
        <w:rPr>
          <w:rFonts w:hint="eastAsia"/>
          <w:lang w:val="en-US" w:eastAsia="zh-CN"/>
        </w:rPr>
        <w:t>ESP8266_Init(AT_RST,AT_RST,AT_CWMODE,AT_CWJAP,AT_CIPSTART);ESP8266初始化。ESP8266初始化的AT指令详见：网关板ESP8266的使用.PDF。需要注意的是，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19125"/>
            <wp:effectExtent l="0" t="0" r="4445" b="9525"/>
            <wp:docPr id="2" name="图片 2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上图中的char  AT_CWJAP[]="AT+CWJAP=\"ysln\",\"13579plm\"\r\n";必要的时候请更改为自己热点的名称、密码(例子中的热点名称为：ysln 密码为：13579plm)。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 AT_CIPSTART[]="AT+CIPSTART=\"TCP\",\"59.110.140.133\",8888\r\n";这句话表示需要与哪台主机建立连接、端口号是多少(示例中的字符串表明与59.110.140.133这个主机的8888端口建立TCP连</w:t>
      </w:r>
      <w:bookmarkStart w:id="0" w:name="_GoBack"/>
      <w:bookmarkEnd w:id="0"/>
      <w:r>
        <w:rPr>
          <w:rFonts w:hint="eastAsia"/>
          <w:lang w:val="en-US" w:eastAsia="zh-CN"/>
        </w:rPr>
        <w:t>接)。除此以外发送到云平台的数据格式也需要注意。现给出一个示例。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76545" cy="221615"/>
            <wp:effectExtent l="0" t="0" r="14605" b="6985"/>
            <wp:docPr id="3" name="图片 3" descr="捕获.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.2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hAnsi="Times New Roman" w:cs="Times New Roman" w:asciiTheme="majorAscii"/>
          <w:lang w:val="en-US" w:eastAsia="zh-CN"/>
        </w:rPr>
      </w:pPr>
      <w:r>
        <w:rPr>
          <w:rFonts w:hint="default" w:hAnsi="Times New Roman" w:cs="Times New Roman" w:asciiTheme="majorAscii"/>
          <w:lang w:val="en-US" w:eastAsia="zh-CN"/>
        </w:rPr>
        <w:t>Data1[]={'3',',','I','D',':','0','0','0','0','0','0','0','0',',','B','=','0','0','0',',','Q','=','0','0','0',',','S','=','0','0','0','0'};</w:t>
      </w:r>
      <w:r>
        <w:rPr>
          <w:rFonts w:hint="eastAsia" w:hAnsi="Times New Roman" w:cs="Times New Roman" w:asciiTheme="majorAscii"/>
          <w:lang w:val="en-US" w:eastAsia="zh-CN"/>
        </w:rPr>
        <w:t>其中字符串开始的3表示这是一个PULSE SENSOR的数据，即3表明数据类型；后面的ID:00000000将会在读到卡号后将00000000替换为当前的RFID卡号；后面的B:000在读取到心率后其中的000将会被替换;Q:000在读取到心跳间隔时数据将会填充进数组中；S:0000代表当前的心跳信号，网站端将会根据这个心率信号来绘制心电图。最后将数据上传到云端后，网站会自动根据数据类型来剥离数据。</w:t>
      </w:r>
      <w:r>
        <w:rPr>
          <w:rFonts w:hint="eastAsia" w:hAnsi="Times New Roman" w:cs="Times New Roman" w:asciiTheme="majorAscii"/>
          <w:color w:val="FF0000"/>
          <w:lang w:val="en-US" w:eastAsia="zh-CN"/>
        </w:rPr>
        <w:t>因此，千万不要将数据类型弄错</w:t>
      </w:r>
      <w:r>
        <w:rPr>
          <w:rFonts w:hint="eastAsia" w:hAnsi="Times New Roman" w:cs="Times New Roman" w:asciiTheme="majorAscii"/>
          <w:lang w:val="en-US" w:eastAsia="zh-CN"/>
        </w:rPr>
        <w:t>。此例中，会把卡号、心率、心跳间隔、心率信号数据剥离下来，然后看卡号是否被注册，若未被注册将会丢掉整个报文；若已注册，将会将数据存储到对应用户的数据库中并将实时绘图显示。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(9)、LCD_Init();显示屏初始化。</w:t>
      </w:r>
    </w:p>
    <w:p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(10)、</w:t>
      </w:r>
      <w:r>
        <w:rPr>
          <w:rFonts w:hint="default"/>
          <w:lang w:val="en-US" w:eastAsia="zh-CN"/>
        </w:rPr>
        <w:t>RC522_Init();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读卡器初始化。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其他程序源码与此类似。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020BE"/>
    <w:multiLevelType w:val="singleLevel"/>
    <w:tmpl w:val="617020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2019-05-24T06:35:36Z</dcterms:created>
  <dc:creator>zy</dc:creator>
  <cp:lastModifiedBy>趙</cp:lastModifiedBy>
  <dcterms:modified xsi:type="dcterms:W3CDTF">2019-05-24T07:43:19Z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