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F422" w14:textId="77777777" w:rsidR="00210649" w:rsidRDefault="00210649" w:rsidP="00210649">
      <w:pPr>
        <w:pStyle w:val="NormalWeb"/>
      </w:pPr>
      <w:r>
        <w:rPr>
          <w:b/>
          <w:bCs/>
        </w:rPr>
        <w:t>Proposed Technical Architecture Overview</w:t>
      </w:r>
    </w:p>
    <w:p w14:paraId="175BF24F" w14:textId="26C9191D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Core Framework:</w:t>
      </w:r>
      <w:r>
        <w:t xml:space="preserve"> We utilize </w:t>
      </w:r>
      <w:r>
        <w:rPr>
          <w:b/>
          <w:bCs/>
        </w:rPr>
        <w:t>Spring Boot 4</w:t>
      </w:r>
      <w:r>
        <w:t xml:space="preserve"> as our foundational framework for all microservices.</w:t>
      </w:r>
    </w:p>
    <w:p w14:paraId="6F48A851" w14:textId="77777777" w:rsidR="00210649" w:rsidRDefault="00210649" w:rsidP="00210649">
      <w:pPr>
        <w:pStyle w:val="NormalWeb"/>
        <w:ind w:left="720"/>
      </w:pPr>
    </w:p>
    <w:p w14:paraId="309A0C0F" w14:textId="77777777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API Strategy:</w:t>
      </w:r>
      <w:r>
        <w:t xml:space="preserve"> All services are </w:t>
      </w:r>
      <w:r>
        <w:rPr>
          <w:b/>
          <w:bCs/>
        </w:rPr>
        <w:t>REST-compliant</w:t>
      </w:r>
      <w:r>
        <w:t xml:space="preserve"> and developed using a </w:t>
      </w:r>
      <w:r>
        <w:rPr>
          <w:b/>
          <w:bCs/>
        </w:rPr>
        <w:t>Design-First approach</w:t>
      </w:r>
      <w:r>
        <w:t xml:space="preserve"> with </w:t>
      </w:r>
      <w:proofErr w:type="spellStart"/>
      <w:r>
        <w:rPr>
          <w:b/>
          <w:bCs/>
        </w:rPr>
        <w:t>OpenAPI</w:t>
      </w:r>
      <w:proofErr w:type="spellEnd"/>
      <w:r>
        <w:rPr>
          <w:b/>
          <w:bCs/>
        </w:rPr>
        <w:t xml:space="preserve"> 3.2</w:t>
      </w:r>
      <w:r>
        <w:t>. We maintain a versioned, common data model to ensure consistency across API contracts. To maintain backward compatibility, we never break existing contracts; instead, we expose concurrent versions of the same service when breaking changes are required.</w:t>
      </w:r>
    </w:p>
    <w:p w14:paraId="023409D8" w14:textId="77777777" w:rsidR="00210649" w:rsidRDefault="00210649" w:rsidP="00210649">
      <w:pPr>
        <w:pStyle w:val="NormalWeb"/>
      </w:pPr>
    </w:p>
    <w:p w14:paraId="20CD572B" w14:textId="272A36BB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Standardization via </w:t>
      </w:r>
      <w:proofErr w:type="gramStart"/>
      <w:r>
        <w:rPr>
          <w:b/>
          <w:bCs/>
        </w:rPr>
        <w:t>Chassis :</w:t>
      </w:r>
      <w:proofErr w:type="gramEnd"/>
      <w:r>
        <w:t xml:space="preserve"> To ensure consistency in cross-cutting concerns—such as </w:t>
      </w:r>
      <w:r>
        <w:rPr>
          <w:b/>
          <w:bCs/>
        </w:rPr>
        <w:t>OAuth2 security, error handling, monitoring, and logging</w:t>
      </w:r>
      <w:r>
        <w:t>—we employ a centrally managed library. While this introduces a shared dependency, it minimizes code duplication and ensures that critical infrastructure logic is implemented by senior developers.</w:t>
      </w:r>
      <w:r w:rsidR="00E60737">
        <w:t xml:space="preserve"> The library consists </w:t>
      </w:r>
      <w:r w:rsidR="00EC0E05">
        <w:t xml:space="preserve">mainly </w:t>
      </w:r>
      <w:r w:rsidR="00E60737">
        <w:t xml:space="preserve">of </w:t>
      </w:r>
      <w:r w:rsidR="00EC0E05">
        <w:t>interceptors and</w:t>
      </w:r>
      <w:r w:rsidR="00E60737">
        <w:t xml:space="preserve"> are transparent to the business services.</w:t>
      </w:r>
    </w:p>
    <w:p w14:paraId="7BF0D1E5" w14:textId="77777777" w:rsidR="00210649" w:rsidRDefault="00210649" w:rsidP="00210649">
      <w:pPr>
        <w:pStyle w:val="NormalWeb"/>
        <w:ind w:left="720"/>
      </w:pPr>
    </w:p>
    <w:p w14:paraId="55AFF970" w14:textId="1E40FF64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Service Mesh Integration:</w:t>
      </w:r>
      <w:r>
        <w:t xml:space="preserve"> We leverage </w:t>
      </w:r>
      <w:r>
        <w:rPr>
          <w:b/>
          <w:bCs/>
        </w:rPr>
        <w:t>Kubernetes (k8s)</w:t>
      </w:r>
      <w:r>
        <w:t xml:space="preserve"> native features, including </w:t>
      </w:r>
      <w:r>
        <w:rPr>
          <w:b/>
          <w:bCs/>
        </w:rPr>
        <w:t>Istio</w:t>
      </w:r>
      <w:r>
        <w:t>, to manage network-level concerns like traffic routing and retries, allowing our application code to focus strictly on business logic.</w:t>
      </w:r>
      <w:r w:rsidR="00EC0E05">
        <w:t xml:space="preserve"> For monitoring we are planning to use</w:t>
      </w:r>
      <w:r w:rsidR="00EC0E05">
        <w:t xml:space="preserve"> Jaeger</w:t>
      </w:r>
      <w:r w:rsidR="00EC0E05">
        <w:t xml:space="preserve"> or it’s like.</w:t>
      </w:r>
    </w:p>
    <w:p w14:paraId="0A435F69" w14:textId="77777777" w:rsidR="00210649" w:rsidRDefault="00210649" w:rsidP="00210649">
      <w:pPr>
        <w:pStyle w:val="NormalWeb"/>
        <w:ind w:left="720"/>
      </w:pPr>
    </w:p>
    <w:p w14:paraId="1060FDEF" w14:textId="77777777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Event-Driven Architecture:</w:t>
      </w:r>
      <w:r>
        <w:t xml:space="preserve"> The library provides an agnostic </w:t>
      </w:r>
      <w:r>
        <w:rPr>
          <w:b/>
          <w:bCs/>
        </w:rPr>
        <w:t>Pub/Sub abstraction</w:t>
      </w:r>
      <w:r>
        <w:t>. It uses a custom annotation-driven model for topic subscription and a standardized service call for publishing.</w:t>
      </w:r>
    </w:p>
    <w:p w14:paraId="73FA6488" w14:textId="77777777" w:rsidR="00210649" w:rsidRDefault="00210649" w:rsidP="00210649">
      <w:pPr>
        <w:pStyle w:val="NormalWeb"/>
        <w:numPr>
          <w:ilvl w:val="1"/>
          <w:numId w:val="1"/>
        </w:numPr>
      </w:pPr>
      <w:r>
        <w:rPr>
          <w:b/>
          <w:bCs/>
        </w:rPr>
        <w:t>Consumption Logic:</w:t>
      </w:r>
      <w:r>
        <w:t xml:space="preserve"> Service instances share a </w:t>
      </w:r>
      <w:r>
        <w:rPr>
          <w:rStyle w:val="HTMLCode"/>
          <w:rFonts w:eastAsiaTheme="majorEastAsia"/>
        </w:rPr>
        <w:t>consumer-group-id</w:t>
      </w:r>
      <w:r>
        <w:t xml:space="preserve"> based on their service name.</w:t>
      </w:r>
    </w:p>
    <w:p w14:paraId="67EFAF46" w14:textId="77777777" w:rsidR="00210649" w:rsidRDefault="00210649" w:rsidP="00210649">
      <w:pPr>
        <w:pStyle w:val="NormalWeb"/>
        <w:numPr>
          <w:ilvl w:val="1"/>
          <w:numId w:val="1"/>
        </w:numPr>
      </w:pPr>
      <w:r>
        <w:rPr>
          <w:b/>
          <w:bCs/>
        </w:rPr>
        <w:t>Version Control:</w:t>
      </w:r>
      <w:r>
        <w:t xml:space="preserve"> For events requiring "exactly-once" processing by the most recent deployment, we implement </w:t>
      </w:r>
      <w:r>
        <w:rPr>
          <w:b/>
          <w:bCs/>
        </w:rPr>
        <w:t>Kubernetes Leader Election</w:t>
      </w:r>
      <w:r>
        <w:t>. This ensures that while older versions remain active, only the newest iteration handles specific message streams.</w:t>
      </w:r>
    </w:p>
    <w:p w14:paraId="55C212C3" w14:textId="77777777" w:rsidR="00210649" w:rsidRDefault="00210649" w:rsidP="00210649">
      <w:pPr>
        <w:pStyle w:val="NormalWeb"/>
        <w:ind w:left="1440"/>
      </w:pPr>
    </w:p>
    <w:p w14:paraId="71240E3B" w14:textId="77777777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Security &amp; Deployment:</w:t>
      </w:r>
      <w:r>
        <w:t xml:space="preserve"> All sensitive credentials are managed via a </w:t>
      </w:r>
      <w:r>
        <w:rPr>
          <w:b/>
          <w:bCs/>
        </w:rPr>
        <w:t>Vault</w:t>
      </w:r>
      <w:r>
        <w:t>. Access to production secrets is strictly audited and granted only after a formal service inspection. Each service is containerized and deployed within a Kubernetes cluster.</w:t>
      </w:r>
    </w:p>
    <w:p w14:paraId="2E250538" w14:textId="6D1E2202" w:rsidR="00A06553" w:rsidRDefault="00AC48CF">
      <w:r>
        <w:lastRenderedPageBreak/>
        <w:t>Please first analyze this architecture thoroughly</w:t>
      </w:r>
      <w:r w:rsidR="00A06553">
        <w:t>.</w:t>
      </w:r>
      <w:r>
        <w:t xml:space="preserve"> </w:t>
      </w:r>
      <w:r w:rsidR="00A06553">
        <w:br/>
        <w:t>R</w:t>
      </w:r>
      <w:r>
        <w:t>ate</w:t>
      </w:r>
      <w:r>
        <w:t xml:space="preserve"> it from </w:t>
      </w:r>
      <w:r w:rsidR="00E90FF2">
        <w:t xml:space="preserve">0 meaning </w:t>
      </w:r>
      <w:r w:rsidR="00A06553">
        <w:t>“</w:t>
      </w:r>
      <w:r>
        <w:t>inadequate</w:t>
      </w:r>
      <w:r w:rsidR="00A06553">
        <w:t>”</w:t>
      </w:r>
      <w:r>
        <w:t xml:space="preserve"> to</w:t>
      </w:r>
      <w:r w:rsidR="00E90FF2">
        <w:t>10 meaning “</w:t>
      </w:r>
      <w:r>
        <w:t>gold star</w:t>
      </w:r>
      <w:r w:rsidR="00A06553">
        <w:t>”</w:t>
      </w:r>
      <w:r>
        <w:t>.</w:t>
      </w:r>
      <w:r w:rsidR="00A06553">
        <w:t xml:space="preserve"> </w:t>
      </w:r>
      <w:r w:rsidR="00E90FF2">
        <w:br/>
        <w:t xml:space="preserve">List the pros and con’s leading up to your rating </w:t>
      </w:r>
    </w:p>
    <w:p w14:paraId="40375F24" w14:textId="56C21A48" w:rsidR="00440D98" w:rsidRDefault="00440D98"/>
    <w:p w14:paraId="553393F0" w14:textId="77777777" w:rsidR="00440D98" w:rsidRDefault="00440D98"/>
    <w:p w14:paraId="701EB00B" w14:textId="45D9FCC0" w:rsidR="00133124" w:rsidRDefault="00133124"/>
    <w:p w14:paraId="1BA5B931" w14:textId="77777777" w:rsidR="00133124" w:rsidRDefault="00133124"/>
    <w:p w14:paraId="022784C9" w14:textId="77777777" w:rsidR="00133124" w:rsidRDefault="00133124"/>
    <w:p w14:paraId="742BFE24" w14:textId="0541BC1B" w:rsidR="00133124" w:rsidRDefault="00133124"/>
    <w:p w14:paraId="608A7993" w14:textId="77777777" w:rsidR="00440D98" w:rsidRDefault="00440D98"/>
    <w:p w14:paraId="6B9EEFD4" w14:textId="36BF3614" w:rsidR="00210649" w:rsidRDefault="00440D98">
      <w:r w:rsidRPr="00440D98">
        <w:drawing>
          <wp:inline distT="0" distB="0" distL="0" distR="0" wp14:anchorId="6FC4C1B8" wp14:editId="514F51A9">
            <wp:extent cx="5943600" cy="3238500"/>
            <wp:effectExtent l="0" t="0" r="0" b="0"/>
            <wp:docPr id="1603049823" name="Picture 1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49823" name="Picture 1" descr="A diagram of a business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14D6" w14:textId="77777777" w:rsidR="0008230A" w:rsidRDefault="0008230A"/>
    <w:p w14:paraId="3D61E3AF" w14:textId="77777777" w:rsidR="0008230A" w:rsidRDefault="0008230A"/>
    <w:p w14:paraId="1756A469" w14:textId="34E661C6" w:rsidR="0008230A" w:rsidRDefault="0008230A"/>
    <w:p w14:paraId="27A31F44" w14:textId="77777777" w:rsidR="0008230A" w:rsidRDefault="0008230A"/>
    <w:p w14:paraId="08214B24" w14:textId="77777777" w:rsidR="0008230A" w:rsidRDefault="0008230A"/>
    <w:p w14:paraId="0EB8D261" w14:textId="579D8B1E" w:rsidR="0008230A" w:rsidRDefault="0008230A">
      <w:r w:rsidRPr="0008230A">
        <w:lastRenderedPageBreak/>
        <w:drawing>
          <wp:inline distT="0" distB="0" distL="0" distR="0" wp14:anchorId="51EECFA5" wp14:editId="323A4115">
            <wp:extent cx="5943600" cy="3238500"/>
            <wp:effectExtent l="0" t="0" r="0" b="0"/>
            <wp:docPr id="14548692" name="Picture 1" descr="A diagram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692" name="Picture 1" descr="A diagram of a clou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765"/>
    <w:multiLevelType w:val="multilevel"/>
    <w:tmpl w:val="FC5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2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49"/>
    <w:rsid w:val="0008230A"/>
    <w:rsid w:val="00133124"/>
    <w:rsid w:val="00210649"/>
    <w:rsid w:val="00440D98"/>
    <w:rsid w:val="00493F81"/>
    <w:rsid w:val="005F1287"/>
    <w:rsid w:val="00823B9A"/>
    <w:rsid w:val="00A06553"/>
    <w:rsid w:val="00AC48CF"/>
    <w:rsid w:val="00B73CDD"/>
    <w:rsid w:val="00E60737"/>
    <w:rsid w:val="00E90FF2"/>
    <w:rsid w:val="00EC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0519B"/>
  <w15:chartTrackingRefBased/>
  <w15:docId w15:val="{B49DA438-3266-EF4D-A228-C93BC3F3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0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06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Michael Cordoza Høffner</dc:creator>
  <cp:keywords/>
  <dc:description/>
  <cp:lastModifiedBy>Alex Michael Cordoza Høffner</cp:lastModifiedBy>
  <cp:revision>13</cp:revision>
  <dcterms:created xsi:type="dcterms:W3CDTF">2026-03-04T19:40:00Z</dcterms:created>
  <dcterms:modified xsi:type="dcterms:W3CDTF">2026-03-05T23:44:00Z</dcterms:modified>
</cp:coreProperties>
</file>