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A5202" w14:textId="2B179115" w:rsidR="00163A37" w:rsidRDefault="00163A37" w:rsidP="00163A37">
      <w:pPr>
        <w:rPr>
          <w:b/>
          <w:bCs/>
        </w:rPr>
      </w:pPr>
      <w:r w:rsidRPr="00163A37">
        <w:rPr>
          <w:b/>
          <w:bCs/>
        </w:rPr>
        <w:t>Correlation Analysis in Credit Prediction: An Empirical Study on Income, Employment, and Family Demographics</w:t>
      </w:r>
    </w:p>
    <w:p w14:paraId="65CE142B" w14:textId="1CB18725" w:rsidR="00163A37" w:rsidRPr="00163A37" w:rsidRDefault="00163A37" w:rsidP="00163A37">
      <w:r w:rsidRPr="00163A37">
        <w:rPr>
          <w:b/>
          <w:bCs/>
        </w:rPr>
        <w:t>Abstract</w:t>
      </w:r>
    </w:p>
    <w:p w14:paraId="2DE8A1F8" w14:textId="77777777" w:rsidR="00163A37" w:rsidRPr="00163A37" w:rsidRDefault="00163A37" w:rsidP="00163A37">
      <w:r w:rsidRPr="00163A37">
        <w:t>This paper investigates the relationships between key financial and demographic variables in a credit prediction dataset, employing correlation analysis to uncover the interdependencies among variables such as income, age, employment length, and family size. The analysis reveals a complex interplay of factors, where variables like age and employment length exhibit moderate correlations, while income demonstrates weak associations with demographic variables. The study underscores the importance of understanding these relationships for the development of robust credit scoring models, which are increasingly crucial in the financial sector's risk management strategies.</w:t>
      </w:r>
    </w:p>
    <w:p w14:paraId="509A7398" w14:textId="77777777" w:rsidR="00163A37" w:rsidRPr="00163A37" w:rsidRDefault="00163A37" w:rsidP="00163A37">
      <w:r w:rsidRPr="00163A37">
        <w:rPr>
          <w:b/>
          <w:bCs/>
        </w:rPr>
        <w:t>Keywords</w:t>
      </w:r>
      <w:r w:rsidRPr="00163A37">
        <w:t>: Credit Prediction, Correlation Analysis, Income, Employment Length, Family Size, Data Analysis</w:t>
      </w:r>
    </w:p>
    <w:p w14:paraId="50517984" w14:textId="77777777" w:rsidR="00163A37" w:rsidRPr="00163A37" w:rsidRDefault="00163A37" w:rsidP="00163A37">
      <w:pPr>
        <w:rPr>
          <w:b/>
          <w:bCs/>
        </w:rPr>
      </w:pPr>
      <w:r w:rsidRPr="00163A37">
        <w:rPr>
          <w:b/>
          <w:bCs/>
        </w:rPr>
        <w:t>1. INTRODUCTION</w:t>
      </w:r>
    </w:p>
    <w:p w14:paraId="60AF9AFD" w14:textId="77777777" w:rsidR="00163A37" w:rsidRPr="00163A37" w:rsidRDefault="00163A37" w:rsidP="00163A37">
      <w:r w:rsidRPr="00163A37">
        <w:t>The ability to accurately assess creditworthiness is paramount for financial institutions. Traditional credit scoring models rely heavily on the relationships between various financial and demographic variables to predict the likelihood of default. As the complexity of consumer profiles increases, understanding these relationships becomes critical in enhancing the predictive power of credit scoring models. This study explores the correlation between key variables in a credit prediction dataset, including income, age, employment length, and family demographics. By analyzing these relationships, this paper aims to provide insights that can inform the development of more accurate and reliable credit scoring models.</w:t>
      </w:r>
    </w:p>
    <w:p w14:paraId="4BD9B42D" w14:textId="77777777" w:rsidR="00163A37" w:rsidRPr="00163A37" w:rsidRDefault="00163A37" w:rsidP="00163A37">
      <w:pPr>
        <w:rPr>
          <w:b/>
          <w:bCs/>
        </w:rPr>
      </w:pPr>
      <w:r w:rsidRPr="00163A37">
        <w:rPr>
          <w:b/>
          <w:bCs/>
        </w:rPr>
        <w:t>2. LITERATURE REVIEW</w:t>
      </w:r>
    </w:p>
    <w:p w14:paraId="79E1FB22" w14:textId="77777777" w:rsidR="00163A37" w:rsidRPr="00163A37" w:rsidRDefault="00163A37" w:rsidP="00163A37">
      <w:r w:rsidRPr="00163A37">
        <w:t>Credit scoring models have traditionally used statistical methods to evaluate the probability of default based on a borrower’s historical data. However, with the rise of big data and advanced machine learning techniques, there is an increasing need to understand the underlying relationships between various predictors in these models. Recent studies have highlighted the significance of demographic factors, such as age and family size, in influencing credit outcomes, suggesting that these variables should be carefully considered in the design of predictive models.</w:t>
      </w:r>
    </w:p>
    <w:p w14:paraId="6D6C50EB" w14:textId="77777777" w:rsidR="00163A37" w:rsidRPr="00163A37" w:rsidRDefault="00163A37" w:rsidP="00163A37">
      <w:pPr>
        <w:rPr>
          <w:b/>
          <w:bCs/>
        </w:rPr>
      </w:pPr>
      <w:r w:rsidRPr="00163A37">
        <w:rPr>
          <w:b/>
          <w:bCs/>
        </w:rPr>
        <w:t>3. METHODOLOGY</w:t>
      </w:r>
    </w:p>
    <w:p w14:paraId="6F693417" w14:textId="77777777" w:rsidR="00163A37" w:rsidRPr="00163A37" w:rsidRDefault="00163A37" w:rsidP="00163A37">
      <w:r w:rsidRPr="00163A37">
        <w:t xml:space="preserve">This study uses Pearson correlation coefficients to examine the linear relationships between selected numerical variables in a credit prediction dataset. The variables </w:t>
      </w:r>
      <w:r w:rsidRPr="00163A37">
        <w:lastRenderedPageBreak/>
        <w:t>analyzed include AMT_INCOME_TOTAL, DAYS_BIRTH, DAYS_EMPLOYED, CNT_CHILDREN, and CNT_FAM_MEMBERS. The dataset was processed to exclude missing values, ensuring a robust analysis. Correlation matrices were generated to visualize and interpret the strength and direction of relationships between these variables.</w:t>
      </w:r>
    </w:p>
    <w:p w14:paraId="320045C6" w14:textId="77777777" w:rsidR="00163A37" w:rsidRPr="00163A37" w:rsidRDefault="00163A37" w:rsidP="00163A37">
      <w:pPr>
        <w:rPr>
          <w:b/>
          <w:bCs/>
        </w:rPr>
      </w:pPr>
      <w:r w:rsidRPr="00163A37">
        <w:rPr>
          <w:b/>
          <w:bCs/>
        </w:rPr>
        <w:t>4. RESULTS AND DISCUSSION</w:t>
      </w:r>
    </w:p>
    <w:p w14:paraId="4F819AAA" w14:textId="77777777" w:rsidR="00163A37" w:rsidRPr="00163A37" w:rsidRDefault="00163A37" w:rsidP="00163A37">
      <w:pPr>
        <w:rPr>
          <w:b/>
          <w:bCs/>
        </w:rPr>
      </w:pPr>
      <w:r w:rsidRPr="00163A37">
        <w:rPr>
          <w:b/>
          <w:bCs/>
        </w:rPr>
        <w:t>4.1. Income and Employment Length</w:t>
      </w:r>
    </w:p>
    <w:p w14:paraId="3A174E84" w14:textId="77777777" w:rsidR="00163A37" w:rsidRPr="00163A37" w:rsidRDefault="00163A37" w:rsidP="00163A37">
      <w:r w:rsidRPr="00163A37">
        <w:t xml:space="preserve">The correlation between AMT_INCOME_TOTAL and DAYS_EMPLOYED is </w:t>
      </w:r>
      <w:r w:rsidRPr="00163A37">
        <w:rPr>
          <w:b/>
          <w:bCs/>
        </w:rPr>
        <w:t>0.218</w:t>
      </w:r>
      <w:r w:rsidRPr="00163A37">
        <w:t>, indicating a weak positive relationship. This suggests that while individuals with longer employment histories tend to earn higher incomes, other factors likely contribute to income variation, such as education level and job type.</w:t>
      </w:r>
    </w:p>
    <w:p w14:paraId="2B2BE0DE" w14:textId="77777777" w:rsidR="00163A37" w:rsidRPr="00163A37" w:rsidRDefault="00163A37" w:rsidP="00163A37">
      <w:pPr>
        <w:rPr>
          <w:b/>
          <w:bCs/>
        </w:rPr>
      </w:pPr>
      <w:r w:rsidRPr="00163A37">
        <w:rPr>
          <w:b/>
          <w:bCs/>
        </w:rPr>
        <w:t>4.2. Income and Age</w:t>
      </w:r>
    </w:p>
    <w:p w14:paraId="4D5E5FFE" w14:textId="77777777" w:rsidR="00163A37" w:rsidRPr="00163A37" w:rsidRDefault="00163A37" w:rsidP="00163A37">
      <w:r w:rsidRPr="00163A37">
        <w:t xml:space="preserve">The correlation between AMT_INCOME_TOTAL and DAYS_BIRTH is </w:t>
      </w:r>
      <w:r w:rsidRPr="00163A37">
        <w:rPr>
          <w:b/>
          <w:bCs/>
        </w:rPr>
        <w:t>-0.015</w:t>
      </w:r>
      <w:r w:rsidRPr="00163A37">
        <w:t>, implying almost no linear relationship between income and age. This finding may reflect the diverse age range and career stages of the individuals in the dataset, where income does not necessarily increase with age.</w:t>
      </w:r>
    </w:p>
    <w:p w14:paraId="389567B8" w14:textId="77777777" w:rsidR="00163A37" w:rsidRPr="00163A37" w:rsidRDefault="00163A37" w:rsidP="00163A37">
      <w:pPr>
        <w:rPr>
          <w:b/>
          <w:bCs/>
        </w:rPr>
      </w:pPr>
      <w:r w:rsidRPr="00163A37">
        <w:rPr>
          <w:b/>
          <w:bCs/>
        </w:rPr>
        <w:t>4.3. Age and Family Size</w:t>
      </w:r>
    </w:p>
    <w:p w14:paraId="56B8CC84" w14:textId="77777777" w:rsidR="00163A37" w:rsidRPr="00163A37" w:rsidRDefault="00163A37" w:rsidP="00163A37">
      <w:r w:rsidRPr="00163A37">
        <w:t>A moderate positive correlation (</w:t>
      </w:r>
      <w:r w:rsidRPr="00163A37">
        <w:rPr>
          <w:b/>
          <w:bCs/>
        </w:rPr>
        <w:t>0.585</w:t>
      </w:r>
      <w:r w:rsidRPr="00163A37">
        <w:t>) was found between DAYS_BIRTH and CNT_FAM_MEMBERS, indicating that older individuals tend to have larger families. This relationship aligns with societal trends where family size typically increases as individuals age and establish households.</w:t>
      </w:r>
    </w:p>
    <w:p w14:paraId="0A8AD985" w14:textId="77777777" w:rsidR="00163A37" w:rsidRPr="00163A37" w:rsidRDefault="00163A37" w:rsidP="00163A37">
      <w:pPr>
        <w:rPr>
          <w:b/>
          <w:bCs/>
        </w:rPr>
      </w:pPr>
      <w:r w:rsidRPr="00163A37">
        <w:rPr>
          <w:b/>
          <w:bCs/>
        </w:rPr>
        <w:t>4.4. Age and Employment Length</w:t>
      </w:r>
    </w:p>
    <w:p w14:paraId="0BC77692" w14:textId="77777777" w:rsidR="00163A37" w:rsidRPr="00163A37" w:rsidRDefault="00163A37" w:rsidP="00163A37">
      <w:r w:rsidRPr="00163A37">
        <w:t xml:space="preserve">The correlation of </w:t>
      </w:r>
      <w:r w:rsidRPr="00163A37">
        <w:rPr>
          <w:b/>
          <w:bCs/>
        </w:rPr>
        <w:t>-0.502</w:t>
      </w:r>
      <w:r w:rsidRPr="00163A37">
        <w:t xml:space="preserve"> between DAYS_BIRTH and DAYS_EMPLOYED suggests a moderate negative relationship, where older individuals tend to have shorter employment lengths. This could be due to retirement or reduced workforce participation among older demographics.</w:t>
      </w:r>
    </w:p>
    <w:p w14:paraId="7E1C7BCD" w14:textId="77777777" w:rsidR="00163A37" w:rsidRPr="00163A37" w:rsidRDefault="00163A37" w:rsidP="00163A37">
      <w:pPr>
        <w:rPr>
          <w:b/>
          <w:bCs/>
        </w:rPr>
      </w:pPr>
      <w:r w:rsidRPr="00163A37">
        <w:rPr>
          <w:b/>
          <w:bCs/>
        </w:rPr>
        <w:t>4.5. Employment Length and Family Size</w:t>
      </w:r>
    </w:p>
    <w:p w14:paraId="25C67397" w14:textId="77777777" w:rsidR="00163A37" w:rsidRPr="00163A37" w:rsidRDefault="00163A37" w:rsidP="00163A37">
      <w:r w:rsidRPr="00163A37">
        <w:t>The study also identified a moderate negative correlation (</w:t>
      </w:r>
      <w:r w:rsidRPr="00163A37">
        <w:rPr>
          <w:b/>
          <w:bCs/>
        </w:rPr>
        <w:t>-0.576</w:t>
      </w:r>
      <w:r w:rsidRPr="00163A37">
        <w:t>) between DAYS_EMPLOYED and CNT_FAM_MEMBERS, indicating that individuals with longer employment histories tend to have smaller families. This relationship may reflect the balance between career demands and family life.</w:t>
      </w:r>
    </w:p>
    <w:p w14:paraId="494D351B" w14:textId="77777777" w:rsidR="00163A37" w:rsidRPr="00163A37" w:rsidRDefault="00163A37" w:rsidP="00163A37">
      <w:pPr>
        <w:rPr>
          <w:b/>
          <w:bCs/>
        </w:rPr>
      </w:pPr>
      <w:r w:rsidRPr="00163A37">
        <w:rPr>
          <w:b/>
          <w:bCs/>
        </w:rPr>
        <w:t>5. CONCLUSION</w:t>
      </w:r>
    </w:p>
    <w:p w14:paraId="31FB3110" w14:textId="77777777" w:rsidR="00163A37" w:rsidRPr="00163A37" w:rsidRDefault="00163A37" w:rsidP="00163A37">
      <w:r w:rsidRPr="00163A37">
        <w:lastRenderedPageBreak/>
        <w:t>The correlation analysis conducted in this study provides valuable insights into the relationships between key variables in credit prediction. Understanding these relationships is crucial for developing more accurate and robust credit scoring models. The findings suggest that while some variables, such as age and employment length, are moderately correlated, others, like income and age, show little linear relationship. These insights can help financial institutions refine their models to better assess creditworthiness and manage risk.</w:t>
      </w:r>
    </w:p>
    <w:p w14:paraId="0C960E01" w14:textId="77777777" w:rsidR="00163A37" w:rsidRPr="00163A37" w:rsidRDefault="00163A37" w:rsidP="00163A37">
      <w:r w:rsidRPr="00163A37">
        <w:rPr>
          <w:b/>
          <w:bCs/>
        </w:rPr>
        <w:t>References</w:t>
      </w:r>
    </w:p>
    <w:p w14:paraId="73A3F202" w14:textId="77777777" w:rsidR="00163A37" w:rsidRPr="00163A37" w:rsidRDefault="00163A37" w:rsidP="00163A37">
      <w:r w:rsidRPr="00163A37">
        <w:t xml:space="preserve">[1] W. Frame, A. Srinivasan, and L. Woosley, “The effect of credit scoring on small-business lending,” </w:t>
      </w:r>
      <w:r w:rsidRPr="00163A37">
        <w:rPr>
          <w:i/>
          <w:iCs/>
        </w:rPr>
        <w:t>Journal of Money, Credit and Banking</w:t>
      </w:r>
      <w:r w:rsidRPr="00163A37">
        <w:t>, vol. 33, no. 3, pp. 813-825, 2001.</w:t>
      </w:r>
    </w:p>
    <w:p w14:paraId="73883906" w14:textId="77777777" w:rsidR="00163A37" w:rsidRPr="00163A37" w:rsidRDefault="00163A37" w:rsidP="00163A37">
      <w:r w:rsidRPr="00163A37">
        <w:t xml:space="preserve">[2] T. Tang, “Information asymmetry and firms' credit market access: Evidence from Moody's credit rating format refinement,” </w:t>
      </w:r>
      <w:r w:rsidRPr="00163A37">
        <w:rPr>
          <w:i/>
          <w:iCs/>
        </w:rPr>
        <w:t>Journal of Financial Economics</w:t>
      </w:r>
      <w:r w:rsidRPr="00163A37">
        <w:t>, vol. 93, no. 2, pp. 325-351, 2009.</w:t>
      </w:r>
    </w:p>
    <w:p w14:paraId="4C009696" w14:textId="77777777" w:rsidR="00163A37" w:rsidRPr="00163A37" w:rsidRDefault="00163A37" w:rsidP="00163A37">
      <w:r w:rsidRPr="00163A37">
        <w:t xml:space="preserve">[3] J. Crook, D. Edelman, and L. Thomas, “Recent developments in consumer credit risk assessment,” </w:t>
      </w:r>
      <w:r w:rsidRPr="00163A37">
        <w:rPr>
          <w:i/>
          <w:iCs/>
        </w:rPr>
        <w:t>European Journal of Operational Research</w:t>
      </w:r>
      <w:r w:rsidRPr="00163A37">
        <w:t>, vol. 183, no. 3, pp. 1447-1465, 2007.</w:t>
      </w:r>
    </w:p>
    <w:p w14:paraId="32F7525D" w14:textId="77777777" w:rsidR="00163A37" w:rsidRDefault="00163A37"/>
    <w:sectPr w:rsidR="00163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37"/>
    <w:rsid w:val="00036496"/>
    <w:rsid w:val="0016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465F"/>
  <w15:chartTrackingRefBased/>
  <w15:docId w15:val="{FFD00F32-8EBC-41AB-B361-19C09087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A37"/>
    <w:rPr>
      <w:rFonts w:eastAsiaTheme="majorEastAsia" w:cstheme="majorBidi"/>
      <w:color w:val="272727" w:themeColor="text1" w:themeTint="D8"/>
    </w:rPr>
  </w:style>
  <w:style w:type="paragraph" w:styleId="Title">
    <w:name w:val="Title"/>
    <w:basedOn w:val="Normal"/>
    <w:next w:val="Normal"/>
    <w:link w:val="TitleChar"/>
    <w:uiPriority w:val="10"/>
    <w:qFormat/>
    <w:rsid w:val="00163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A37"/>
    <w:pPr>
      <w:spacing w:before="160"/>
      <w:jc w:val="center"/>
    </w:pPr>
    <w:rPr>
      <w:i/>
      <w:iCs/>
      <w:color w:val="404040" w:themeColor="text1" w:themeTint="BF"/>
    </w:rPr>
  </w:style>
  <w:style w:type="character" w:customStyle="1" w:styleId="QuoteChar">
    <w:name w:val="Quote Char"/>
    <w:basedOn w:val="DefaultParagraphFont"/>
    <w:link w:val="Quote"/>
    <w:uiPriority w:val="29"/>
    <w:rsid w:val="00163A37"/>
    <w:rPr>
      <w:i/>
      <w:iCs/>
      <w:color w:val="404040" w:themeColor="text1" w:themeTint="BF"/>
    </w:rPr>
  </w:style>
  <w:style w:type="paragraph" w:styleId="ListParagraph">
    <w:name w:val="List Paragraph"/>
    <w:basedOn w:val="Normal"/>
    <w:uiPriority w:val="34"/>
    <w:qFormat/>
    <w:rsid w:val="00163A37"/>
    <w:pPr>
      <w:ind w:left="720"/>
      <w:contextualSpacing/>
    </w:pPr>
  </w:style>
  <w:style w:type="character" w:styleId="IntenseEmphasis">
    <w:name w:val="Intense Emphasis"/>
    <w:basedOn w:val="DefaultParagraphFont"/>
    <w:uiPriority w:val="21"/>
    <w:qFormat/>
    <w:rsid w:val="00163A37"/>
    <w:rPr>
      <w:i/>
      <w:iCs/>
      <w:color w:val="0F4761" w:themeColor="accent1" w:themeShade="BF"/>
    </w:rPr>
  </w:style>
  <w:style w:type="paragraph" w:styleId="IntenseQuote">
    <w:name w:val="Intense Quote"/>
    <w:basedOn w:val="Normal"/>
    <w:next w:val="Normal"/>
    <w:link w:val="IntenseQuoteChar"/>
    <w:uiPriority w:val="30"/>
    <w:qFormat/>
    <w:rsid w:val="00163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A37"/>
    <w:rPr>
      <w:i/>
      <w:iCs/>
      <w:color w:val="0F4761" w:themeColor="accent1" w:themeShade="BF"/>
    </w:rPr>
  </w:style>
  <w:style w:type="character" w:styleId="IntenseReference">
    <w:name w:val="Intense Reference"/>
    <w:basedOn w:val="DefaultParagraphFont"/>
    <w:uiPriority w:val="32"/>
    <w:qFormat/>
    <w:rsid w:val="00163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9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2024-08-11T19:01:00Z</dcterms:created>
  <dcterms:modified xsi:type="dcterms:W3CDTF">2024-08-11T19:04:00Z</dcterms:modified>
</cp:coreProperties>
</file>