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23472" w14:textId="78C18073" w:rsidR="00014BA7" w:rsidRPr="00014BA7" w:rsidRDefault="00014BA7" w:rsidP="00014BA7">
      <w:r>
        <w:t xml:space="preserve">30. </w:t>
      </w:r>
      <w:r w:rsidRPr="00014BA7">
        <w:t>Exploring the Relationship between Age, Medication Dosage, and Treatment Outcome by Gender: A Data-Driven Analysis</w:t>
      </w:r>
    </w:p>
    <w:p w14:paraId="2E82BBA7" w14:textId="77777777" w:rsidR="00014BA7" w:rsidRPr="00014BA7" w:rsidRDefault="00014BA7" w:rsidP="00014BA7">
      <w:pPr>
        <w:rPr>
          <w:b/>
          <w:bCs/>
        </w:rPr>
      </w:pPr>
      <w:r w:rsidRPr="00014BA7">
        <w:rPr>
          <w:b/>
          <w:bCs/>
        </w:rPr>
        <w:t>Abstract</w:t>
      </w:r>
    </w:p>
    <w:p w14:paraId="6865BF05" w14:textId="77777777" w:rsidR="00014BA7" w:rsidRPr="00014BA7" w:rsidRDefault="00014BA7" w:rsidP="00014BA7">
      <w:r w:rsidRPr="00014BA7">
        <w:t>This study investigates the complex relationship between age, dosage of medication, and treatment outcomes across different gender groups. Using a scatter plot visualization, we analyze the distribution of medication dosages and corresponding treatment outcomes for male, female, and unspecified gender patients. The findings reveal significant variability in treatment responses influenced by gender and age, providing insights into personalized medication strategies and highlighting the importance of considering demographic factors in clinical decision-making.</w:t>
      </w:r>
    </w:p>
    <w:p w14:paraId="225E1C5A" w14:textId="77777777" w:rsidR="00014BA7" w:rsidRPr="00014BA7" w:rsidRDefault="00014BA7" w:rsidP="00014BA7">
      <w:pPr>
        <w:rPr>
          <w:b/>
          <w:bCs/>
        </w:rPr>
      </w:pPr>
      <w:r w:rsidRPr="00014BA7">
        <w:rPr>
          <w:b/>
          <w:bCs/>
        </w:rPr>
        <w:t>Introduction</w:t>
      </w:r>
    </w:p>
    <w:p w14:paraId="0F727400" w14:textId="77777777" w:rsidR="00014BA7" w:rsidRPr="00014BA7" w:rsidRDefault="00014BA7" w:rsidP="00014BA7">
      <w:r w:rsidRPr="00014BA7">
        <w:t>Understanding the relationship between patient demographics, medication dosages, and treatment outcomes is crucial for developing personalized medicine strategies. Age and gender are well-established factors that influence drug metabolism and response, but their interplay with medication dosage and outcomes remains under-explored. This study aims to analyze the distribution and impact of these variables on treatment success rates, represented by a binary outcome (0: unfavorable, 1: favorable).</w:t>
      </w:r>
    </w:p>
    <w:p w14:paraId="34D8EC88" w14:textId="77777777" w:rsidR="00014BA7" w:rsidRPr="00014BA7" w:rsidRDefault="00014BA7" w:rsidP="00014BA7">
      <w:pPr>
        <w:rPr>
          <w:b/>
          <w:bCs/>
        </w:rPr>
      </w:pPr>
      <w:r w:rsidRPr="00014BA7">
        <w:rPr>
          <w:b/>
          <w:bCs/>
        </w:rPr>
        <w:t>Methods</w:t>
      </w:r>
    </w:p>
    <w:p w14:paraId="00F6F0A8" w14:textId="77777777" w:rsidR="00014BA7" w:rsidRPr="00014BA7" w:rsidRDefault="00014BA7" w:rsidP="00014BA7">
      <w:r w:rsidRPr="00014BA7">
        <w:t>The dataset consists of patient records segmented by age, gender (male, female, and unspecified), medication dosage (measured in milligrams), and treatment outcome (binary: 0 or 1). A scatter plot was used to visualize the relationships between these variables, with separate panels for each gender category. The x-axis represents age, the y-axis indicates medication dosage, and the color of the points (red for outcome 0 and blue for outcome 1) differentiates between favorable and unfavorable treatment responses.</w:t>
      </w:r>
    </w:p>
    <w:p w14:paraId="1C7B08F1" w14:textId="77777777" w:rsidR="00014BA7" w:rsidRPr="00014BA7" w:rsidRDefault="00014BA7" w:rsidP="00014BA7">
      <w:pPr>
        <w:rPr>
          <w:b/>
          <w:bCs/>
        </w:rPr>
      </w:pPr>
      <w:r w:rsidRPr="00014BA7">
        <w:rPr>
          <w:b/>
          <w:bCs/>
        </w:rPr>
        <w:t>Results</w:t>
      </w:r>
    </w:p>
    <w:p w14:paraId="3712C9F6" w14:textId="77777777" w:rsidR="00014BA7" w:rsidRPr="00014BA7" w:rsidRDefault="00014BA7" w:rsidP="00014BA7">
      <w:r w:rsidRPr="00014BA7">
        <w:t>The scatter plot reveals several notable patterns:</w:t>
      </w:r>
    </w:p>
    <w:p w14:paraId="66DAC17D" w14:textId="77777777" w:rsidR="00014BA7" w:rsidRPr="00014BA7" w:rsidRDefault="00014BA7" w:rsidP="00014BA7">
      <w:pPr>
        <w:numPr>
          <w:ilvl w:val="0"/>
          <w:numId w:val="1"/>
        </w:numPr>
      </w:pPr>
      <w:r w:rsidRPr="00014BA7">
        <w:rPr>
          <w:b/>
          <w:bCs/>
        </w:rPr>
        <w:t>Distribution of Medication Dosage by Gender:</w:t>
      </w:r>
    </w:p>
    <w:p w14:paraId="713DB5C5" w14:textId="77777777" w:rsidR="00014BA7" w:rsidRPr="00014BA7" w:rsidRDefault="00014BA7" w:rsidP="00014BA7">
      <w:pPr>
        <w:numPr>
          <w:ilvl w:val="1"/>
          <w:numId w:val="1"/>
        </w:numPr>
      </w:pPr>
      <w:r w:rsidRPr="00014BA7">
        <w:t xml:space="preserve">The plot shows a wide range of medication dosages across all gender categories. </w:t>
      </w:r>
      <w:proofErr w:type="gramStart"/>
      <w:r w:rsidRPr="00014BA7">
        <w:t>The majority of</w:t>
      </w:r>
      <w:proofErr w:type="gramEnd"/>
      <w:r w:rsidRPr="00014BA7">
        <w:t xml:space="preserve"> patients, regardless of gender, received dosages between 100 mg and 400 mg.</w:t>
      </w:r>
    </w:p>
    <w:p w14:paraId="67732CD7" w14:textId="77777777" w:rsidR="00014BA7" w:rsidRPr="00014BA7" w:rsidRDefault="00014BA7" w:rsidP="00014BA7">
      <w:pPr>
        <w:numPr>
          <w:ilvl w:val="1"/>
          <w:numId w:val="1"/>
        </w:numPr>
      </w:pPr>
      <w:r w:rsidRPr="00014BA7">
        <w:t>There is a noticeable concentration of data points around 200 mg and 300 mg, suggesting these dosages are commonly prescribed.</w:t>
      </w:r>
    </w:p>
    <w:p w14:paraId="488C320F" w14:textId="77777777" w:rsidR="00014BA7" w:rsidRPr="00014BA7" w:rsidRDefault="00014BA7" w:rsidP="00014BA7">
      <w:pPr>
        <w:numPr>
          <w:ilvl w:val="0"/>
          <w:numId w:val="1"/>
        </w:numPr>
      </w:pPr>
      <w:r w:rsidRPr="00014BA7">
        <w:rPr>
          <w:b/>
          <w:bCs/>
        </w:rPr>
        <w:lastRenderedPageBreak/>
        <w:t>Age-Based Variability in Dosage and Outcome:</w:t>
      </w:r>
    </w:p>
    <w:p w14:paraId="45695040" w14:textId="77777777" w:rsidR="00014BA7" w:rsidRPr="00014BA7" w:rsidRDefault="00014BA7" w:rsidP="00014BA7">
      <w:pPr>
        <w:numPr>
          <w:ilvl w:val="1"/>
          <w:numId w:val="1"/>
        </w:numPr>
      </w:pPr>
      <w:r w:rsidRPr="00014BA7">
        <w:t>The age of patients varies widely across all gender groups. However, there does not appear to be a significant trend linking age to the dosage of medication. Both younger and older patients received similar dosage ranges.</w:t>
      </w:r>
    </w:p>
    <w:p w14:paraId="7438892E" w14:textId="77777777" w:rsidR="00014BA7" w:rsidRPr="00014BA7" w:rsidRDefault="00014BA7" w:rsidP="00014BA7">
      <w:pPr>
        <w:numPr>
          <w:ilvl w:val="1"/>
          <w:numId w:val="1"/>
        </w:numPr>
      </w:pPr>
      <w:r w:rsidRPr="00014BA7">
        <w:t>The outcomes (represented by color coding) show a roughly even distribution across the age spectrum within each gender group, indicating no strong age bias in treatment success or failure.</w:t>
      </w:r>
    </w:p>
    <w:p w14:paraId="37F39310" w14:textId="77777777" w:rsidR="00014BA7" w:rsidRPr="00014BA7" w:rsidRDefault="00014BA7" w:rsidP="00014BA7">
      <w:pPr>
        <w:numPr>
          <w:ilvl w:val="0"/>
          <w:numId w:val="1"/>
        </w:numPr>
      </w:pPr>
      <w:r w:rsidRPr="00014BA7">
        <w:rPr>
          <w:b/>
          <w:bCs/>
        </w:rPr>
        <w:t>Comparison between Male, Female, and Unspecified Gender Groups:</w:t>
      </w:r>
    </w:p>
    <w:p w14:paraId="165D8F47" w14:textId="77777777" w:rsidR="00014BA7" w:rsidRPr="00014BA7" w:rsidRDefault="00014BA7" w:rsidP="00014BA7">
      <w:pPr>
        <w:numPr>
          <w:ilvl w:val="1"/>
          <w:numId w:val="1"/>
        </w:numPr>
      </w:pPr>
      <w:r w:rsidRPr="00014BA7">
        <w:t>The plot indicates that both male and female patients exhibit a similar pattern in the distribution of medication dosages and treatment outcomes. However, there appears to be slightly more variability in outcomes for male patients, as reflected by the more evenly distributed red and blue points.</w:t>
      </w:r>
    </w:p>
    <w:p w14:paraId="1E4E4EB1" w14:textId="77777777" w:rsidR="00014BA7" w:rsidRPr="00014BA7" w:rsidRDefault="00014BA7" w:rsidP="00014BA7">
      <w:pPr>
        <w:numPr>
          <w:ilvl w:val="1"/>
          <w:numId w:val="1"/>
        </w:numPr>
      </w:pPr>
      <w:r w:rsidRPr="00014BA7">
        <w:t>The "NA" gender category (unspecified) shows fewer data points overall, which may indicate a smaller sample size or less documentation for this group. The distribution of outcomes in this category also appears more varied, with no distinct patterns emerging.</w:t>
      </w:r>
    </w:p>
    <w:p w14:paraId="3D2DA31C" w14:textId="77777777" w:rsidR="00014BA7" w:rsidRPr="00014BA7" w:rsidRDefault="00014BA7" w:rsidP="00014BA7">
      <w:pPr>
        <w:numPr>
          <w:ilvl w:val="0"/>
          <w:numId w:val="1"/>
        </w:numPr>
      </w:pPr>
      <w:r w:rsidRPr="00014BA7">
        <w:rPr>
          <w:b/>
          <w:bCs/>
        </w:rPr>
        <w:t>Outcome Trends by Gender:</w:t>
      </w:r>
    </w:p>
    <w:p w14:paraId="1AD7359A" w14:textId="77777777" w:rsidR="00014BA7" w:rsidRPr="00014BA7" w:rsidRDefault="00014BA7" w:rsidP="00014BA7">
      <w:pPr>
        <w:numPr>
          <w:ilvl w:val="1"/>
          <w:numId w:val="1"/>
        </w:numPr>
      </w:pPr>
      <w:r w:rsidRPr="00014BA7">
        <w:t>While both male and female groups display a mix of outcomes across all age and dosage ranges, there are slight indications that certain dosage ranges might correlate with more favorable outcomes in specific gender groups. For instance, female patients appear to have a higher density of favorable outcomes (blue points) around the 200-300 mg dosage range, while male patients show a more evenly mixed outcome distribution.</w:t>
      </w:r>
    </w:p>
    <w:p w14:paraId="4D3012E9" w14:textId="77777777" w:rsidR="00014BA7" w:rsidRPr="00014BA7" w:rsidRDefault="00014BA7" w:rsidP="00014BA7">
      <w:pPr>
        <w:rPr>
          <w:b/>
          <w:bCs/>
        </w:rPr>
      </w:pPr>
      <w:r w:rsidRPr="00014BA7">
        <w:rPr>
          <w:b/>
          <w:bCs/>
        </w:rPr>
        <w:t>Discussion</w:t>
      </w:r>
    </w:p>
    <w:p w14:paraId="485256CD" w14:textId="77777777" w:rsidR="00014BA7" w:rsidRPr="00014BA7" w:rsidRDefault="00014BA7" w:rsidP="00014BA7">
      <w:r w:rsidRPr="00014BA7">
        <w:t>The results suggest that while age and dosage do not show a straightforward correlation with treatment outcomes, gender-specific patterns may exist in the data. For example, female patients might benefit more from specific dosage ranges than male patients. The variability in outcomes for the "NA" group highlights the need for more comprehensive data collection on gender.</w:t>
      </w:r>
    </w:p>
    <w:p w14:paraId="19D8CE5E" w14:textId="77777777" w:rsidR="00014BA7" w:rsidRPr="00014BA7" w:rsidRDefault="00014BA7" w:rsidP="00014BA7">
      <w:r w:rsidRPr="00014BA7">
        <w:t xml:space="preserve">Additionally, the results underscore the complexity of predicting treatment success based solely on demographic factors like age and gender. The even distribution of outcomes across age and dosage ranges suggests that other unmeasured factors (such as genetic </w:t>
      </w:r>
      <w:r w:rsidRPr="00014BA7">
        <w:lastRenderedPageBreak/>
        <w:t>variations, lifestyle, or concurrent medical conditions) may play a significant role in determining treatment efficacy.</w:t>
      </w:r>
    </w:p>
    <w:p w14:paraId="2D71A219" w14:textId="77777777" w:rsidR="00014BA7" w:rsidRPr="00014BA7" w:rsidRDefault="00014BA7" w:rsidP="00014BA7">
      <w:pPr>
        <w:rPr>
          <w:b/>
          <w:bCs/>
        </w:rPr>
      </w:pPr>
      <w:r w:rsidRPr="00014BA7">
        <w:rPr>
          <w:b/>
          <w:bCs/>
        </w:rPr>
        <w:t>Conclusion</w:t>
      </w:r>
    </w:p>
    <w:p w14:paraId="7B646A87" w14:textId="77777777" w:rsidR="00014BA7" w:rsidRPr="00014BA7" w:rsidRDefault="00014BA7" w:rsidP="00014BA7">
      <w:r w:rsidRPr="00014BA7">
        <w:t>This study provides a preliminary exploration of the relationship between age, medication dosage, and treatment outcomes across different gender groups. While some gender-specific trends are observed, the lack of clear age-based correlations and the wide variability in outcomes highlight the multifactorial nature of treatment responses. Future research should incorporate additional variables and larger sample sizes to better understand the nuances of these relationships and enhance the development of personalized treatment strategies.</w:t>
      </w:r>
    </w:p>
    <w:p w14:paraId="5657A7E4" w14:textId="77777777" w:rsidR="00014BA7" w:rsidRPr="00014BA7" w:rsidRDefault="00014BA7" w:rsidP="00014BA7">
      <w:pPr>
        <w:rPr>
          <w:b/>
          <w:bCs/>
        </w:rPr>
      </w:pPr>
      <w:r w:rsidRPr="00014BA7">
        <w:rPr>
          <w:b/>
          <w:bCs/>
        </w:rPr>
        <w:t>Future Work</w:t>
      </w:r>
    </w:p>
    <w:p w14:paraId="7BD0B090" w14:textId="77777777" w:rsidR="00014BA7" w:rsidRPr="00014BA7" w:rsidRDefault="00014BA7" w:rsidP="00014BA7">
      <w:r w:rsidRPr="00014BA7">
        <w:t>Future studies should focus on expanding the dataset to include more granular data on patient characteristics, such as genetic information, comorbidities, and lifestyle factors, which could provide a deeper understanding of the determinants of treatment outcomes. Advanced modeling techniques, such as machine learning algorithms, could be employed to identify complex, non-linear patterns and improve prediction accuracy for patient-specific medication responses.</w:t>
      </w:r>
    </w:p>
    <w:p w14:paraId="1012833F" w14:textId="77777777" w:rsidR="00014BA7" w:rsidRPr="00014BA7" w:rsidRDefault="00014BA7" w:rsidP="00014BA7">
      <w:pPr>
        <w:rPr>
          <w:b/>
          <w:bCs/>
        </w:rPr>
      </w:pPr>
      <w:r w:rsidRPr="00014BA7">
        <w:rPr>
          <w:b/>
          <w:bCs/>
        </w:rPr>
        <w:t>References</w:t>
      </w:r>
    </w:p>
    <w:p w14:paraId="3141AFF9" w14:textId="77777777" w:rsidR="00014BA7" w:rsidRPr="00014BA7" w:rsidRDefault="00014BA7" w:rsidP="00014BA7">
      <w:pPr>
        <w:numPr>
          <w:ilvl w:val="0"/>
          <w:numId w:val="2"/>
        </w:numPr>
      </w:pPr>
      <w:r w:rsidRPr="00014BA7">
        <w:t>Include references on personalized medicine, demographic influences on drug response, and methodologies for data-driven analysis in clinical research.</w:t>
      </w:r>
    </w:p>
    <w:p w14:paraId="191C13B4" w14:textId="77777777" w:rsidR="00014BA7" w:rsidRDefault="00014BA7"/>
    <w:sectPr w:rsidR="00014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885E82"/>
    <w:multiLevelType w:val="multilevel"/>
    <w:tmpl w:val="DB82A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A74C1E"/>
    <w:multiLevelType w:val="multilevel"/>
    <w:tmpl w:val="9A58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543769">
    <w:abstractNumId w:val="0"/>
  </w:num>
  <w:num w:numId="2" w16cid:durableId="1964461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A7"/>
    <w:rsid w:val="00014BA7"/>
    <w:rsid w:val="001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7F4D"/>
  <w15:chartTrackingRefBased/>
  <w15:docId w15:val="{4A1DA6C6-4BA0-44CB-8588-233228BC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BA7"/>
    <w:rPr>
      <w:rFonts w:eastAsiaTheme="majorEastAsia" w:cstheme="majorBidi"/>
      <w:color w:val="272727" w:themeColor="text1" w:themeTint="D8"/>
    </w:rPr>
  </w:style>
  <w:style w:type="paragraph" w:styleId="Title">
    <w:name w:val="Title"/>
    <w:basedOn w:val="Normal"/>
    <w:next w:val="Normal"/>
    <w:link w:val="TitleChar"/>
    <w:uiPriority w:val="10"/>
    <w:qFormat/>
    <w:rsid w:val="00014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BA7"/>
    <w:pPr>
      <w:spacing w:before="160"/>
      <w:jc w:val="center"/>
    </w:pPr>
    <w:rPr>
      <w:i/>
      <w:iCs/>
      <w:color w:val="404040" w:themeColor="text1" w:themeTint="BF"/>
    </w:rPr>
  </w:style>
  <w:style w:type="character" w:customStyle="1" w:styleId="QuoteChar">
    <w:name w:val="Quote Char"/>
    <w:basedOn w:val="DefaultParagraphFont"/>
    <w:link w:val="Quote"/>
    <w:uiPriority w:val="29"/>
    <w:rsid w:val="00014BA7"/>
    <w:rPr>
      <w:i/>
      <w:iCs/>
      <w:color w:val="404040" w:themeColor="text1" w:themeTint="BF"/>
    </w:rPr>
  </w:style>
  <w:style w:type="paragraph" w:styleId="ListParagraph">
    <w:name w:val="List Paragraph"/>
    <w:basedOn w:val="Normal"/>
    <w:uiPriority w:val="34"/>
    <w:qFormat/>
    <w:rsid w:val="00014BA7"/>
    <w:pPr>
      <w:ind w:left="720"/>
      <w:contextualSpacing/>
    </w:pPr>
  </w:style>
  <w:style w:type="character" w:styleId="IntenseEmphasis">
    <w:name w:val="Intense Emphasis"/>
    <w:basedOn w:val="DefaultParagraphFont"/>
    <w:uiPriority w:val="21"/>
    <w:qFormat/>
    <w:rsid w:val="00014BA7"/>
    <w:rPr>
      <w:i/>
      <w:iCs/>
      <w:color w:val="0F4761" w:themeColor="accent1" w:themeShade="BF"/>
    </w:rPr>
  </w:style>
  <w:style w:type="paragraph" w:styleId="IntenseQuote">
    <w:name w:val="Intense Quote"/>
    <w:basedOn w:val="Normal"/>
    <w:next w:val="Normal"/>
    <w:link w:val="IntenseQuoteChar"/>
    <w:uiPriority w:val="30"/>
    <w:qFormat/>
    <w:rsid w:val="00014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BA7"/>
    <w:rPr>
      <w:i/>
      <w:iCs/>
      <w:color w:val="0F4761" w:themeColor="accent1" w:themeShade="BF"/>
    </w:rPr>
  </w:style>
  <w:style w:type="character" w:styleId="IntenseReference">
    <w:name w:val="Intense Reference"/>
    <w:basedOn w:val="DefaultParagraphFont"/>
    <w:uiPriority w:val="32"/>
    <w:qFormat/>
    <w:rsid w:val="00014B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47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2024-08-31T15:08:00Z</dcterms:created>
  <dcterms:modified xsi:type="dcterms:W3CDTF">2024-08-31T15:09:00Z</dcterms:modified>
</cp:coreProperties>
</file>