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70" w:after="0"/>
        <w:ind w:left="0" w:right="115" w:hanging="0"/>
        <w:jc w:val="right"/>
        <w:rPr/>
      </w:pPr>
      <w:r>
        <w:rPr/>
        <w:t xml:space="preserve">Asunción, </w:t>
      </w:r>
      <w:r>
        <w:rPr/>
        <w:t>11</w:t>
      </w:r>
      <w:r>
        <w:rPr/>
        <w:t xml:space="preserve"> de </w:t>
      </w:r>
      <w:r>
        <w:rPr/>
        <w:t>mayo</w:t>
      </w:r>
      <w:r>
        <w:rPr/>
        <w:t xml:space="preserve"> de 202</w:t>
      </w:r>
      <w:r>
        <w:rPr/>
        <w:t>2</w:t>
      </w:r>
    </w:p>
    <w:p>
      <w:pPr>
        <w:pStyle w:val="Heading1"/>
        <w:spacing w:before="194" w:after="0"/>
        <w:rPr/>
      </w:pPr>
      <w:r>
        <w:rPr>
          <w:lang w:val="en-US"/>
        </w:rPr>
        <w:t xml:space="preserve">Atn: Sr. </w:t>
      </w:r>
      <w:r>
        <w:rPr>
          <w:lang w:val="en-US"/>
        </w:rPr>
        <w:t>Gregorio Godoy</w:t>
      </w:r>
    </w:p>
    <w:p>
      <w:pPr>
        <w:pStyle w:val="TextBody"/>
        <w:spacing w:lineRule="auto" w:line="415" w:before="188" w:after="0"/>
        <w:ind w:left="319" w:right="81" w:hanging="0"/>
        <w:jc w:val="left"/>
        <w:rPr/>
      </w:pPr>
      <w:r>
        <w:rPr>
          <w:b/>
        </w:rPr>
        <w:t>Ref</w:t>
      </w:r>
      <w:r>
        <w:rPr/>
        <w:t>.</w:t>
      </w:r>
      <w:r>
        <w:rPr>
          <w:b/>
        </w:rPr>
        <w:t xml:space="preserve">: </w:t>
      </w:r>
      <w:r>
        <w:rPr>
          <w:b w:val="false"/>
          <w:bCs w:val="false"/>
        </w:rPr>
        <w:t xml:space="preserve">Migracion de sistema </w:t>
      </w:r>
    </w:p>
    <w:p>
      <w:pPr>
        <w:pStyle w:val="TextBody"/>
        <w:spacing w:lineRule="auto" w:line="415" w:before="188" w:after="0"/>
        <w:ind w:left="319" w:right="4526" w:hanging="0"/>
        <w:jc w:val="left"/>
        <w:rPr/>
      </w:pPr>
      <w:r>
        <w:rPr/>
        <w:t>Presente</w:t>
      </w:r>
    </w:p>
    <w:p>
      <w:pPr>
        <w:pStyle w:val="TextBody"/>
        <w:jc w:val="left"/>
        <w:rPr/>
      </w:pPr>
      <w:r>
        <w:rPr/>
        <w:t>De mi mayor consideración:</w:t>
      </w:r>
    </w:p>
    <w:p>
      <w:pPr>
        <w:pStyle w:val="TextBody"/>
        <w:spacing w:lineRule="auto" w:line="264" w:before="186" w:after="0"/>
        <w:ind w:left="319" w:right="160" w:firstLine="707"/>
        <w:rPr/>
      </w:pPr>
      <w:r>
        <w:rPr/>
        <w:t>Tengo el agrado de dirigirme a ustedes con el objeto de presentarles el presupuesto para la provisión de servicios especificados en la planilla detallada más adelante. Este me ha sido solicitado muy atentamente por su apreciada firma</w:t>
      </w:r>
    </w:p>
    <w:p>
      <w:pPr>
        <w:pStyle w:val="Heading1"/>
        <w:ind w:left="3557" w:right="3360" w:hanging="0"/>
        <w:jc w:val="center"/>
        <w:rPr/>
      </w:pPr>
      <w:r>
        <w:rPr/>
        <w:t>PROPUESTA COMERCIAL</w:t>
      </w:r>
    </w:p>
    <w:p>
      <w:pPr>
        <w:pStyle w:val="TextBody"/>
        <w:spacing w:lineRule="auto" w:line="331" w:before="18" w:after="0"/>
        <w:ind w:left="319" w:right="138" w:firstLine="707"/>
        <w:rPr/>
      </w:pPr>
      <w:r>
        <w:rPr/>
        <w:t>Este presupuesto se basa en la información proporcionada sobre la base de sus necesidades actuales y a los precios y condiciones que se expresan más adelante en nuestra Propuesta Comercial.</w:t>
      </w:r>
    </w:p>
    <w:p>
      <w:pPr>
        <w:pStyle w:val="TextBody"/>
        <w:spacing w:before="6" w:after="0"/>
        <w:ind w:left="0" w:hanging="0"/>
        <w:jc w:val="left"/>
        <w:rPr>
          <w:sz w:val="18"/>
        </w:rPr>
      </w:pPr>
      <w:r>
        <w:rPr>
          <w:sz w:val="18"/>
        </w:rPr>
      </w:r>
    </w:p>
    <w:tbl>
      <w:tblPr>
        <w:tblW w:w="9450" w:type="dxa"/>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0" w:val="01e0" w:noHBand="0" w:lastColumn="1" w:firstColumn="1" w:lastRow="1" w:firstRow="1"/>
      </w:tblPr>
      <w:tblGrid>
        <w:gridCol w:w="1005"/>
        <w:gridCol w:w="6484"/>
        <w:gridCol w:w="1961"/>
      </w:tblGrid>
      <w:tr>
        <w:trPr>
          <w:trHeight w:val="284" w:hRule="atLeast"/>
        </w:trPr>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val="clear"/>
          </w:tcPr>
          <w:p>
            <w:pPr>
              <w:pStyle w:val="TableParagraph"/>
              <w:spacing w:lineRule="exact" w:line="244" w:before="0" w:after="0"/>
              <w:ind w:left="430" w:hanging="0"/>
              <w:rPr/>
            </w:pPr>
            <w:r>
              <w:rPr>
                <w:b/>
                <w:w w:val="95"/>
              </w:rPr>
              <w:t>Cant.</w:t>
            </w:r>
          </w:p>
        </w:tc>
        <w:tc>
          <w:tcPr>
            <w:tcW w:w="6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val="clear"/>
          </w:tcPr>
          <w:p>
            <w:pPr>
              <w:pStyle w:val="TableParagraph"/>
              <w:spacing w:lineRule="exact" w:line="244" w:before="0" w:after="0"/>
              <w:ind w:left="2328" w:right="1927" w:hanging="0"/>
              <w:jc w:val="center"/>
              <w:rPr/>
            </w:pPr>
            <w:r>
              <w:rPr>
                <w:b/>
              </w:rPr>
              <w:t>DESCRIPCION</w:t>
            </w:r>
          </w:p>
        </w:tc>
        <w:tc>
          <w:tcPr>
            <w:tcW w:w="1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val="clear"/>
          </w:tcPr>
          <w:p>
            <w:pPr>
              <w:pStyle w:val="TableParagraph"/>
              <w:spacing w:lineRule="exact" w:line="244" w:before="0" w:after="0"/>
              <w:ind w:left="95" w:hanging="0"/>
              <w:rPr>
                <w:b/>
                <w:b/>
              </w:rPr>
            </w:pPr>
            <w:r>
              <w:rPr>
                <w:b/>
              </w:rPr>
              <w:t>GS. IVA incluido</w:t>
            </w:r>
          </w:p>
        </w:tc>
      </w:tr>
      <w:tr>
        <w:trPr>
          <w:trHeight w:val="339" w:hRule="atLeast"/>
        </w:trPr>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0" w:before="44" w:after="0"/>
              <w:ind w:left="205" w:hanging="0"/>
              <w:jc w:val="center"/>
              <w:rPr/>
            </w:pPr>
            <w:r>
              <w:rPr>
                <w:w w:val="80"/>
              </w:rPr>
              <w:t>1</w:t>
            </w:r>
          </w:p>
        </w:tc>
        <w:tc>
          <w:tcPr>
            <w:tcW w:w="6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numPr>
                <w:ilvl w:val="0"/>
                <w:numId w:val="1"/>
              </w:numPr>
              <w:spacing w:lineRule="exact" w:line="250" w:before="44" w:after="0"/>
              <w:rPr/>
            </w:pPr>
            <w:r>
              <w:rPr>
                <w:i/>
                <w:iCs/>
              </w:rPr>
              <w:t>Migracion de sistema php a asp .net con framework 3.5 c#</w:t>
            </w:r>
          </w:p>
          <w:p>
            <w:pPr>
              <w:pStyle w:val="TableParagraph"/>
              <w:numPr>
                <w:ilvl w:val="0"/>
                <w:numId w:val="0"/>
              </w:numPr>
              <w:spacing w:lineRule="exact" w:line="250" w:before="44" w:after="0"/>
              <w:ind w:left="420" w:hanging="0"/>
              <w:rPr/>
            </w:pPr>
            <w:r>
              <w:rPr>
                <w:i/>
                <w:iCs/>
              </w:rPr>
              <w:t>a) Pantalla login con Oauth</w:t>
            </w:r>
          </w:p>
          <w:p>
            <w:pPr>
              <w:pStyle w:val="TableParagraph"/>
              <w:numPr>
                <w:ilvl w:val="0"/>
                <w:numId w:val="0"/>
              </w:numPr>
              <w:spacing w:lineRule="exact" w:line="250" w:before="44" w:after="0"/>
              <w:ind w:left="420" w:hanging="0"/>
              <w:rPr/>
            </w:pPr>
            <w:r>
              <w:rPr>
                <w:i/>
                <w:iCs/>
              </w:rPr>
              <w:t>b) Pantalla gestion de usuarios</w:t>
            </w:r>
          </w:p>
          <w:p>
            <w:pPr>
              <w:pStyle w:val="TableParagraph"/>
              <w:numPr>
                <w:ilvl w:val="0"/>
                <w:numId w:val="0"/>
              </w:numPr>
              <w:spacing w:lineRule="exact" w:line="250" w:before="44" w:after="0"/>
              <w:ind w:left="420" w:hanging="0"/>
              <w:rPr/>
            </w:pPr>
            <w:r>
              <w:rPr>
                <w:i/>
                <w:iCs/>
              </w:rPr>
              <w:t>c) Pantalla de Busqueda de Carnets</w:t>
            </w:r>
          </w:p>
          <w:p>
            <w:pPr>
              <w:pStyle w:val="TableParagraph"/>
              <w:numPr>
                <w:ilvl w:val="0"/>
                <w:numId w:val="0"/>
              </w:numPr>
              <w:spacing w:lineRule="exact" w:line="250" w:before="44" w:after="0"/>
              <w:ind w:left="420" w:hanging="0"/>
              <w:rPr/>
            </w:pPr>
            <w:r>
              <w:rPr>
                <w:i/>
                <w:iCs/>
              </w:rPr>
              <w:t>d) Pantalla para fotografiar al acreditante e imprimir el carnet con codigo QR</w:t>
            </w:r>
          </w:p>
          <w:p>
            <w:pPr>
              <w:pStyle w:val="TableParagraph"/>
              <w:numPr>
                <w:ilvl w:val="0"/>
                <w:numId w:val="0"/>
              </w:numPr>
              <w:spacing w:lineRule="exact" w:line="250" w:before="44" w:after="0"/>
              <w:ind w:left="420" w:hanging="0"/>
              <w:rPr/>
            </w:pPr>
            <w:r>
              <w:rPr>
                <w:i/>
                <w:iCs/>
              </w:rPr>
              <w:t xml:space="preserve">e) Pantalla publica sin login para visualizar y validar el carnet </w:t>
            </w:r>
          </w:p>
          <w:p>
            <w:pPr>
              <w:pStyle w:val="TableParagraph"/>
              <w:numPr>
                <w:ilvl w:val="0"/>
                <w:numId w:val="1"/>
              </w:numPr>
              <w:spacing w:lineRule="exact" w:line="250" w:before="44" w:after="0"/>
              <w:rPr/>
            </w:pPr>
            <w:r>
              <w:rPr>
                <w:i/>
                <w:iCs/>
              </w:rPr>
              <w:t>Migracion de procedimientos, triggers, logica de base de datos postgres</w:t>
            </w:r>
            <w:r>
              <w:rPr>
                <w:i/>
                <w:iCs/>
              </w:rPr>
              <w:t xml:space="preserve">ql </w:t>
            </w:r>
            <w:r>
              <w:rPr>
                <w:i/>
                <w:iCs/>
              </w:rPr>
              <w:t xml:space="preserve">a sqlserver 2019 </w:t>
            </w:r>
            <w:r>
              <w:rPr>
                <w:i/>
                <w:iCs/>
              </w:rPr>
              <w:t>(PGSQL-→Transact SQL)</w:t>
            </w:r>
          </w:p>
        </w:tc>
        <w:tc>
          <w:tcPr>
            <w:tcW w:w="1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0" w:before="44" w:after="0"/>
              <w:ind w:right="196" w:hanging="0"/>
              <w:jc w:val="right"/>
              <w:rPr/>
            </w:pPr>
            <w:bookmarkStart w:id="0" w:name="__DdeLink__83_3118540877"/>
            <w:r>
              <w:rPr/>
              <w:t>17</w:t>
            </w:r>
            <w:r>
              <w:rPr/>
              <w:t>.</w:t>
            </w:r>
            <w:r>
              <w:rPr/>
              <w:t>6</w:t>
            </w:r>
            <w:r>
              <w:rPr/>
              <w:t>00.000</w:t>
            </w:r>
            <w:bookmarkEnd w:id="0"/>
          </w:p>
        </w:tc>
      </w:tr>
      <w:tr>
        <w:trPr>
          <w:trHeight w:val="284" w:hRule="atLeast"/>
        </w:trPr>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33" w:before="10" w:after="0"/>
              <w:ind w:left="200" w:hanging="0"/>
              <w:rPr/>
            </w:pPr>
            <w:r>
              <w:rPr/>
              <w:t xml:space="preserve">    </w:t>
            </w:r>
            <w:r>
              <w:rPr/>
              <w:t>3</w:t>
            </w:r>
          </w:p>
        </w:tc>
        <w:tc>
          <w:tcPr>
            <w:tcW w:w="6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33" w:before="10" w:after="0"/>
              <w:ind w:left="228" w:hanging="0"/>
              <w:rPr/>
            </w:pPr>
            <w:r>
              <w:rPr/>
              <w:t>Soporte Mensual</w:t>
            </w:r>
          </w:p>
        </w:tc>
        <w:tc>
          <w:tcPr>
            <w:tcW w:w="1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0" w:before="44" w:after="0"/>
              <w:ind w:right="196" w:hanging="0"/>
              <w:jc w:val="right"/>
              <w:rPr/>
            </w:pPr>
            <w:r>
              <w:rPr/>
            </w:r>
          </w:p>
        </w:tc>
      </w:tr>
      <w:tr>
        <w:trPr>
          <w:trHeight w:val="284" w:hRule="atLeast"/>
        </w:trPr>
        <w:tc>
          <w:tcPr>
            <w:tcW w:w="10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33" w:before="10" w:after="0"/>
              <w:ind w:left="200" w:hanging="0"/>
              <w:rPr>
                <w:b/>
                <w:b/>
              </w:rPr>
            </w:pPr>
            <w:r>
              <w:rPr>
                <w:b/>
              </w:rPr>
              <w:t>Total:</w:t>
            </w:r>
          </w:p>
        </w:tc>
        <w:tc>
          <w:tcPr>
            <w:tcW w:w="648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33" w:before="10" w:after="0"/>
              <w:ind w:left="228" w:hanging="0"/>
              <w:rPr/>
            </w:pPr>
            <w:r>
              <w:rPr/>
              <w:t>Guaranies Diecisiete millones seiscientos mil</w:t>
            </w:r>
          </w:p>
        </w:tc>
        <w:tc>
          <w:tcPr>
            <w:tcW w:w="196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0" w:before="44" w:after="0"/>
              <w:ind w:right="196" w:hanging="0"/>
              <w:jc w:val="right"/>
              <w:rPr/>
            </w:pPr>
            <w:r>
              <w:rPr/>
              <w:t>17</w:t>
            </w:r>
            <w:r>
              <w:rPr/>
              <w:t>.</w:t>
            </w:r>
            <w:r>
              <w:rPr/>
              <w:t>6</w:t>
            </w:r>
            <w:r>
              <w:rPr/>
              <w:t>00.000</w:t>
            </w:r>
          </w:p>
        </w:tc>
      </w:tr>
    </w:tbl>
    <w:p>
      <w:pPr>
        <w:pStyle w:val="TextBody"/>
        <w:spacing w:before="9" w:after="0"/>
        <w:ind w:left="0" w:hanging="0"/>
        <w:jc w:val="left"/>
        <w:rPr/>
      </w:pPr>
      <w:r>
        <w:rPr/>
      </w:r>
    </w:p>
    <w:p>
      <w:pPr>
        <w:pStyle w:val="TextBody"/>
        <w:spacing w:lineRule="auto" w:line="259" w:before="0" w:after="0"/>
        <w:ind w:left="319" w:right="135" w:hanging="0"/>
        <w:rPr/>
      </w:pPr>
      <w:r>
        <w:rPr>
          <w:b/>
        </w:rPr>
        <w:t xml:space="preserve">1.- BASES DE COTIZACIÓN: </w:t>
      </w:r>
      <w:r>
        <w:rPr/>
        <w:t xml:space="preserve">El presente presupuesto se ha elaborado sobre la base de los datos suministrados por el Cliente y </w:t>
      </w:r>
      <w:r>
        <w:rPr>
          <w:u w:val="single"/>
        </w:rPr>
        <w:t>con el impuesto incluido</w:t>
      </w:r>
      <w:r>
        <w:rPr/>
        <w:t>. Todos los servicios, materiales o equipos que no estén explícitamente detallados en este presupuesto y que por cualquier razón se deban realizar o instalar en el Cliente serán facturados como adicionales a la presente propuesta, previo acuerdo escrito del Cliente. De igual manera servicios adicionales debido a problemas no imputables a mi persona serán facturados por separado.</w:t>
      </w:r>
    </w:p>
    <w:p>
      <w:pPr>
        <w:pStyle w:val="TextBody"/>
        <w:spacing w:lineRule="auto" w:line="290" w:before="0" w:after="0"/>
        <w:ind w:left="319" w:right="136" w:hanging="0"/>
        <w:rPr>
          <w:b/>
          <w:b/>
        </w:rPr>
      </w:pPr>
      <w:r>
        <w:rPr>
          <w:b/>
        </w:rPr>
      </w:r>
    </w:p>
    <w:p>
      <w:pPr>
        <w:pStyle w:val="TextBody"/>
        <w:spacing w:lineRule="auto" w:line="290" w:before="0" w:after="0"/>
        <w:ind w:left="319" w:right="136" w:hanging="0"/>
        <w:rPr/>
      </w:pPr>
      <w:r>
        <w:rPr>
          <w:b/>
        </w:rPr>
        <w:t xml:space="preserve">2.- GARANTÍA: </w:t>
      </w:r>
      <w:r>
        <w:rPr/>
        <w:t xml:space="preserve">Todos los servicios incluidos en la propuesta se encuentran amparados por una garantía por un periodo de </w:t>
      </w:r>
      <w:r>
        <w:rPr/>
        <w:t>3</w:t>
      </w:r>
      <w:r>
        <w:rPr/>
        <w:t xml:space="preserve"> </w:t>
      </w:r>
      <w:r>
        <w:rPr>
          <w:u w:val="single"/>
        </w:rPr>
        <w:t>meses</w:t>
      </w:r>
      <w:r>
        <w:rPr/>
        <w:t xml:space="preserve"> contado a partir de su venta. La garantía que se extiende y cubre cualquier desperfecto de diseño, e incluye el suministro de partes y piezas, así como la mano de obra especializada que sea necesaria para dar solución a cualquier problema que sobrevenga al sistema.</w:t>
      </w:r>
    </w:p>
    <w:p>
      <w:pPr>
        <w:pStyle w:val="TextBody"/>
        <w:spacing w:lineRule="auto" w:line="276" w:before="0" w:after="0"/>
        <w:ind w:left="319" w:right="135" w:hanging="0"/>
        <w:rPr>
          <w:b/>
          <w:b/>
        </w:rPr>
      </w:pPr>
      <w:r>
        <w:rPr>
          <w:b/>
        </w:rPr>
      </w:r>
    </w:p>
    <w:p>
      <w:pPr>
        <w:pStyle w:val="TextBody"/>
        <w:spacing w:lineRule="auto" w:line="276" w:before="0" w:after="0"/>
        <w:ind w:left="319" w:right="135" w:hanging="0"/>
        <w:rPr/>
      </w:pPr>
      <w:r>
        <w:rPr>
          <w:b/>
        </w:rPr>
        <w:t xml:space="preserve">3.- MODIFICACIONES: </w:t>
      </w:r>
      <w:r>
        <w:rPr>
          <w:bCs/>
        </w:rPr>
        <w:t>Si desean modificaciones al sistema de gran envergadura serán presupuestadas por separado</w:t>
      </w:r>
      <w:r>
        <w:rPr/>
        <w:t>.</w:t>
      </w:r>
    </w:p>
    <w:p>
      <w:pPr>
        <w:pStyle w:val="Normal"/>
        <w:ind w:left="319" w:hanging="0"/>
        <w:rPr>
          <w:b/>
          <w:b/>
        </w:rPr>
      </w:pPr>
      <w:r>
        <w:rPr>
          <w:b/>
        </w:rPr>
      </w:r>
    </w:p>
    <w:p>
      <w:pPr>
        <w:pStyle w:val="Normal"/>
        <w:ind w:left="319" w:hanging="0"/>
        <w:rPr/>
      </w:pPr>
      <w:r>
        <w:rPr>
          <w:b/>
        </w:rPr>
        <w:t xml:space="preserve">4.- FORMA DE PAGO:  </w:t>
      </w:r>
      <w:r>
        <w:rPr>
          <w:b w:val="false"/>
          <w:bCs w:val="false"/>
        </w:rPr>
        <w:t>30% para iniciar los trabajos, 70% al finalizar.</w:t>
      </w:r>
      <w:r>
        <w:rPr/>
        <w:t xml:space="preserve"> </w:t>
      </w:r>
    </w:p>
    <w:p>
      <w:pPr>
        <w:pStyle w:val="TextBody"/>
        <w:spacing w:before="0" w:after="0"/>
        <w:ind w:left="426" w:hanging="0"/>
        <w:jc w:val="left"/>
        <w:rPr/>
      </w:pPr>
      <w:r>
        <w:rPr/>
      </w:r>
    </w:p>
    <w:p>
      <w:pPr>
        <w:pStyle w:val="Normal"/>
        <w:ind w:left="319" w:hanging="0"/>
        <w:rPr/>
      </w:pPr>
      <w:r>
        <w:rPr>
          <w:b/>
        </w:rPr>
        <w:t xml:space="preserve">5.- VALIDEZ DE OFERTA: </w:t>
      </w:r>
      <w:r>
        <w:rPr/>
        <w:t>Válido 7 días.</w:t>
      </w:r>
    </w:p>
    <w:p>
      <w:pPr>
        <w:pStyle w:val="Normal"/>
        <w:ind w:left="319" w:hanging="0"/>
        <w:rPr/>
      </w:pPr>
      <w:r>
        <w:rPr/>
      </w:r>
    </w:p>
    <w:p>
      <w:pPr>
        <w:pStyle w:val="TextBody"/>
        <w:spacing w:lineRule="auto" w:line="290" w:before="0" w:after="0"/>
        <w:ind w:left="319" w:right="138" w:hanging="0"/>
        <w:rPr/>
      </w:pPr>
      <w:r>
        <w:rPr>
          <w:b/>
        </w:rPr>
        <w:t xml:space="preserve">OBSERVACIONES: </w:t>
      </w:r>
      <w:r>
        <w:rPr/>
        <w:t>Quedan excluidos de la garantía los problemas de suministros de energía eléctrica en los equipos, por la intervención de personal técnico no autorizado, como así mismo también incluyendo, sin limitaciones, los llamados “Actos de Dios” (rayos, vientos, huracanes, etc.) o por acciones de paros, huelgas, motines y situaciones de convulsión pública o interna de la empresa.</w:t>
      </w:r>
    </w:p>
    <w:p>
      <w:pPr>
        <w:pStyle w:val="TextBody"/>
        <w:spacing w:lineRule="auto" w:line="252" w:before="205" w:after="0"/>
        <w:ind w:left="4282" w:right="4075" w:hanging="0"/>
        <w:jc w:val="center"/>
        <w:rPr/>
      </w:pPr>
      <w:bookmarkStart w:id="1" w:name="__DdeLink__181_2835467771"/>
      <w:r>
        <w:rPr/>
        <w:t>Alexis Gómez Consultor 0981 269 850</w:t>
      </w:r>
      <w:bookmarkEnd w:id="1"/>
    </w:p>
    <w:sectPr>
      <w:type w:val="nextPage"/>
      <w:pgSz w:w="12240" w:h="18720"/>
      <w:pgMar w:left="1380" w:right="1140" w:header="0" w:top="82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ind w:left="420" w:hanging="360"/>
      </w:pPr>
      <w:rPr>
        <w:rFonts w:ascii="Arial" w:hAnsi="Arial" w:cs="Arial" w:hint="default"/>
        <w:rFonts w:cs="Arial"/>
      </w:rPr>
    </w:lvl>
    <w:lvl w:ilvl="1">
      <w:start w:val="1"/>
      <w:numFmt w:val="bullet"/>
      <w:lvlText w:val="o"/>
      <w:lvlJc w:val="left"/>
      <w:pPr>
        <w:ind w:left="1140" w:hanging="360"/>
      </w:pPr>
      <w:rPr>
        <w:rFonts w:ascii="Courier New" w:hAnsi="Courier New" w:cs="Courier New" w:hint="default"/>
        <w:rFonts w:cs="Courier New"/>
      </w:rPr>
    </w:lvl>
    <w:lvl w:ilvl="2">
      <w:start w:val="1"/>
      <w:numFmt w:val="bullet"/>
      <w:lvlText w:val=""/>
      <w:lvlJc w:val="left"/>
      <w:pPr>
        <w:ind w:left="1860" w:hanging="360"/>
      </w:pPr>
      <w:rPr>
        <w:rFonts w:ascii="Wingdings" w:hAnsi="Wingdings" w:cs="Wingdings" w:hint="default"/>
        <w:rFonts w:cs="Wingdings"/>
      </w:rPr>
    </w:lvl>
    <w:lvl w:ilvl="3">
      <w:start w:val="1"/>
      <w:numFmt w:val="bullet"/>
      <w:lvlText w:val=""/>
      <w:lvlJc w:val="left"/>
      <w:pPr>
        <w:ind w:left="2580" w:hanging="360"/>
      </w:pPr>
      <w:rPr>
        <w:rFonts w:ascii="Symbol" w:hAnsi="Symbol" w:cs="Symbol" w:hint="default"/>
        <w:rFonts w:cs="Symbol"/>
      </w:rPr>
    </w:lvl>
    <w:lvl w:ilvl="4">
      <w:start w:val="1"/>
      <w:numFmt w:val="bullet"/>
      <w:lvlText w:val="o"/>
      <w:lvlJc w:val="left"/>
      <w:pPr>
        <w:ind w:left="3300" w:hanging="360"/>
      </w:pPr>
      <w:rPr>
        <w:rFonts w:ascii="Courier New" w:hAnsi="Courier New" w:cs="Courier New" w:hint="default"/>
        <w:rFonts w:cs="Courier New"/>
      </w:rPr>
    </w:lvl>
    <w:lvl w:ilvl="5">
      <w:start w:val="1"/>
      <w:numFmt w:val="bullet"/>
      <w:lvlText w:val=""/>
      <w:lvlJc w:val="left"/>
      <w:pPr>
        <w:ind w:left="4020" w:hanging="360"/>
      </w:pPr>
      <w:rPr>
        <w:rFonts w:ascii="Wingdings" w:hAnsi="Wingdings" w:cs="Wingdings" w:hint="default"/>
        <w:rFonts w:cs="Wingdings"/>
      </w:rPr>
    </w:lvl>
    <w:lvl w:ilvl="6">
      <w:start w:val="1"/>
      <w:numFmt w:val="bullet"/>
      <w:lvlText w:val=""/>
      <w:lvlJc w:val="left"/>
      <w:pPr>
        <w:ind w:left="4740" w:hanging="360"/>
      </w:pPr>
      <w:rPr>
        <w:rFonts w:ascii="Symbol" w:hAnsi="Symbol" w:cs="Symbol" w:hint="default"/>
        <w:rFonts w:cs="Symbol"/>
      </w:rPr>
    </w:lvl>
    <w:lvl w:ilvl="7">
      <w:start w:val="1"/>
      <w:numFmt w:val="bullet"/>
      <w:lvlText w:val="o"/>
      <w:lvlJc w:val="left"/>
      <w:pPr>
        <w:ind w:left="5460" w:hanging="360"/>
      </w:pPr>
      <w:rPr>
        <w:rFonts w:ascii="Courier New" w:hAnsi="Courier New" w:cs="Courier New" w:hint="default"/>
        <w:rFonts w:cs="Courier New"/>
      </w:rPr>
    </w:lvl>
    <w:lvl w:ilvl="8">
      <w:start w:val="1"/>
      <w:numFmt w:val="bullet"/>
      <w:lvlText w:val=""/>
      <w:lvlJc w:val="left"/>
      <w:pPr>
        <w:ind w:left="61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6688"/>
    <w:pPr>
      <w:widowControl w:val="false"/>
      <w:bidi w:val="0"/>
      <w:jc w:val="left"/>
    </w:pPr>
    <w:rPr>
      <w:rFonts w:ascii="Arial" w:hAnsi="Arial" w:eastAsia="Arial" w:cs="Arial"/>
      <w:color w:val="auto"/>
      <w:kern w:val="0"/>
      <w:sz w:val="22"/>
      <w:szCs w:val="22"/>
      <w:lang w:val="es-ES" w:eastAsia="es-ES" w:bidi="es-ES"/>
    </w:rPr>
  </w:style>
  <w:style w:type="paragraph" w:styleId="Heading1">
    <w:name w:val="Heading 1"/>
    <w:basedOn w:val="Normal"/>
    <w:uiPriority w:val="9"/>
    <w:qFormat/>
    <w:rsid w:val="00ff6688"/>
    <w:pPr>
      <w:spacing w:before="134" w:after="0"/>
      <w:ind w:left="319" w:hanging="0"/>
      <w:outlineLvl w:val="0"/>
    </w:pPr>
    <w:rPr>
      <w:b/>
      <w:bCs/>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Arial"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eastAsia="Arial"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Aria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uiPriority w:val="1"/>
    <w:qFormat/>
    <w:rsid w:val="00ff6688"/>
    <w:pPr>
      <w:spacing w:before="1" w:after="0"/>
      <w:ind w:left="319" w:hanging="0"/>
      <w:jc w:val="both"/>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ListParagraph">
    <w:name w:val="List Paragraph"/>
    <w:basedOn w:val="Normal"/>
    <w:uiPriority w:val="1"/>
    <w:qFormat/>
    <w:rsid w:val="00ff6688"/>
    <w:pPr/>
    <w:rPr/>
  </w:style>
  <w:style w:type="paragraph" w:styleId="TableParagraph" w:customStyle="1">
    <w:name w:val="Table Paragraph"/>
    <w:basedOn w:val="Normal"/>
    <w:uiPriority w:val="1"/>
    <w:qFormat/>
    <w:rsid w:val="00ff6688"/>
    <w:pPr>
      <w:spacing w:lineRule="exact" w:line="249" w:before="1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sid w:val="00ff6688"/>
    <w:rPr>
      <w:sz w:val="22"/>
      <w:szCs w:val="22"/>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LibreOffice/6.0.7.3$Linux_X86_64 LibreOffice_project/00m0$Build-3</Application>
  <Pages>1</Pages>
  <Words>422</Words>
  <Characters>2254</Characters>
  <CharactersWithSpaces>2645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2021-12-30T17:53:00Z</dcterms:created>
  <dc:creator>Alexis Daniel Gómez Hönig</dc:creator>
  <dc:description/>
  <dc:language>es-PY</dc:language>
  <cp:lastModifiedBy/>
  <dcterms:modified xsi:type="dcterms:W3CDTF">2022-05-11T20:38:43Z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2019-04-26T00:00:00Z</vt:filetime>
  </property>
  <property fmtid="{D5CDD505-2E9C-101B-9397-08002B2CF9AE}" pid="4" name="Creator">
    <vt:lpwstr>Microsoft® Word para Office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2019-05-16T00:00:00Z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