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预言机介绍</w:t>
      </w:r>
    </w:p>
    <w:p>
      <w:pPr>
        <w:pStyle w:val="1"/>
        <w:spacing w:before="380" w:after="140" w:line="288" w:lineRule="auto"/>
        <w:ind w:left="0"/>
        <w:jc w:val="left"/>
        <w:outlineLvl w:val="0"/>
      </w:pPr>
      <w:bookmarkStart w:name="heading_0" w:id="0"/>
      <w:r>
        <w:rPr>
          <w:rFonts w:eastAsia="等线" w:ascii="Arial" w:cs="Arial" w:hAnsi="Arial"/>
          <w:b w:val="true"/>
          <w:sz w:val="36"/>
        </w:rPr>
        <w:t>Oracle</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定义</w:t>
      </w:r>
      <w:bookmarkEnd w:id="1"/>
    </w:p>
    <w:p>
      <w:pPr>
        <w:spacing w:before="120" w:after="120" w:line="288" w:lineRule="auto"/>
        <w:ind w:left="0"/>
        <w:jc w:val="left"/>
      </w:pPr>
      <w:r>
        <w:rPr>
          <w:rFonts w:eastAsia="等线" w:ascii="Arial" w:cs="Arial" w:hAnsi="Arial"/>
          <w:sz w:val="22"/>
        </w:rPr>
        <w:t>预言机（Oracle）的主要功能是将外部数据引入区块链智能合约，使得这些合约能够与现实世界进行互动（读取到外部世界的数据）。由于区块链的本身是封闭的系统，无法访问外部数据，预言机在信息传递中扮演着桥梁的角色，它可以从外部世界获取信息并将其传递给区块链。</w:t>
      </w:r>
    </w:p>
    <w:p>
      <w:pPr>
        <w:spacing w:before="120" w:after="120" w:line="288" w:lineRule="auto"/>
        <w:ind w:left="0"/>
        <w:jc w:val="left"/>
      </w:pPr>
      <w:r>
        <w:rPr>
          <w:rFonts w:eastAsia="等线" w:ascii="Arial" w:cs="Arial" w:hAnsi="Arial"/>
          <w:sz w:val="22"/>
        </w:rPr>
        <w:t>例如，如果智能合约要获取天气预报、金融市场价格、体育比赛结果等数据， 都需要通过预言机来获取源数据然后传递给合约。</w:t>
      </w:r>
    </w:p>
    <w:p>
      <w:pPr>
        <w:spacing w:before="120" w:after="120" w:line="288" w:lineRule="auto"/>
        <w:ind w:left="0"/>
        <w:jc w:val="left"/>
      </w:pPr>
      <w:r>
        <w:rPr>
          <w:rFonts w:eastAsia="等线" w:ascii="Arial" w:cs="Arial" w:hAnsi="Arial"/>
          <w:sz w:val="22"/>
        </w:rPr>
        <w:t>将链上和链下世界连接需要通过一个中间层，那就是“预言机”。</w:t>
      </w:r>
    </w:p>
    <w:p>
      <w:pPr>
        <w:pStyle w:val="2"/>
        <w:spacing w:before="320" w:after="120" w:line="288" w:lineRule="auto"/>
        <w:ind w:left="0"/>
        <w:jc w:val="left"/>
        <w:outlineLvl w:val="1"/>
      </w:pPr>
      <w:bookmarkStart w:name="heading_2" w:id="2"/>
      <w:r>
        <w:rPr>
          <w:rFonts w:eastAsia="等线" w:ascii="Arial" w:cs="Arial" w:hAnsi="Arial"/>
          <w:b w:val="true"/>
          <w:sz w:val="32"/>
        </w:rPr>
        <w:t>作用</w:t>
      </w:r>
      <w:bookmarkEnd w:id="2"/>
    </w:p>
    <w:p>
      <w:pPr>
        <w:spacing w:before="120" w:after="120" w:line="288" w:lineRule="auto"/>
        <w:ind w:left="0"/>
        <w:jc w:val="left"/>
      </w:pPr>
      <w:r>
        <w:rPr>
          <w:rFonts w:eastAsia="等线" w:ascii="Arial" w:cs="Arial" w:hAnsi="Arial"/>
          <w:sz w:val="22"/>
        </w:rPr>
        <w:t>区块链预言机是将区块链安全连接至链下系统的中间层，区块链可以通过预言机连接至数据提供商、web API、企业后端、云服务商、物联网设备、电子签名、支付系统以及其他区块链等各种链下环境。预言机具有几大关键功能：</w:t>
      </w:r>
    </w:p>
    <w:p>
      <w:pPr>
        <w:numPr>
          <w:numId w:val="1"/>
        </w:numPr>
        <w:spacing w:before="120" w:after="120" w:line="288" w:lineRule="auto"/>
        <w:ind w:left="0"/>
        <w:jc w:val="left"/>
      </w:pPr>
      <w:r>
        <w:rPr>
          <w:rFonts w:eastAsia="等线" w:ascii="Arial" w:cs="Arial" w:hAnsi="Arial"/>
          <w:b w:val="true"/>
          <w:sz w:val="22"/>
        </w:rPr>
        <w:t>等待响应</w:t>
      </w:r>
      <w:r>
        <w:rPr>
          <w:rFonts w:eastAsia="等线" w:ascii="Arial" w:cs="Arial" w:hAnsi="Arial"/>
          <w:sz w:val="22"/>
        </w:rPr>
        <w:t>——监控区块链网络，扫描网络中是否有来自于用户或智能合约的链下数据请求。</w:t>
      </w:r>
    </w:p>
    <w:p>
      <w:pPr>
        <w:numPr>
          <w:numId w:val="2"/>
        </w:numPr>
        <w:spacing w:before="120" w:after="120" w:line="288" w:lineRule="auto"/>
        <w:ind w:left="0"/>
        <w:jc w:val="left"/>
      </w:pPr>
      <w:r>
        <w:rPr>
          <w:rFonts w:eastAsia="等线" w:ascii="Arial" w:cs="Arial" w:hAnsi="Arial"/>
          <w:b w:val="true"/>
          <w:sz w:val="22"/>
        </w:rPr>
        <w:t>获取数据</w:t>
      </w:r>
      <w:r>
        <w:rPr>
          <w:rFonts w:eastAsia="等线" w:ascii="Arial" w:cs="Arial" w:hAnsi="Arial"/>
          <w:sz w:val="22"/>
        </w:rPr>
        <w:t>——从一个或多个链下系统获取数据（比如由第三方web服务器运行的链下API）</w:t>
      </w:r>
    </w:p>
    <w:p>
      <w:pPr>
        <w:numPr>
          <w:numId w:val="3"/>
        </w:numPr>
        <w:spacing w:before="120" w:after="120" w:line="288" w:lineRule="auto"/>
        <w:ind w:left="0"/>
        <w:jc w:val="left"/>
      </w:pPr>
      <w:r>
        <w:rPr>
          <w:rFonts w:eastAsia="等线" w:ascii="Arial" w:cs="Arial" w:hAnsi="Arial"/>
          <w:b w:val="true"/>
          <w:sz w:val="22"/>
        </w:rPr>
        <w:t>格式化</w:t>
      </w:r>
      <w:r>
        <w:rPr>
          <w:rFonts w:eastAsia="等线" w:ascii="Arial" w:cs="Arial" w:hAnsi="Arial"/>
          <w:sz w:val="22"/>
        </w:rPr>
        <w:t>——将来自API的数据转换成区块链可读的格式，并将链上数据转换成外部API兼容的格式，以此打破链上链下的交流屏障。</w:t>
      </w:r>
    </w:p>
    <w:p>
      <w:pPr>
        <w:numPr>
          <w:numId w:val="4"/>
        </w:numPr>
        <w:spacing w:before="120" w:after="120" w:line="288" w:lineRule="auto"/>
        <w:ind w:left="0"/>
        <w:jc w:val="left"/>
      </w:pPr>
      <w:r>
        <w:rPr>
          <w:rFonts w:eastAsia="等线" w:ascii="Arial" w:cs="Arial" w:hAnsi="Arial"/>
          <w:b w:val="true"/>
          <w:sz w:val="22"/>
        </w:rPr>
        <w:t>验证</w:t>
      </w:r>
      <w:r>
        <w:rPr>
          <w:rFonts w:eastAsia="等线" w:ascii="Arial" w:cs="Arial" w:hAnsi="Arial"/>
          <w:sz w:val="22"/>
        </w:rPr>
        <w:t>——使用数据签名、区块链交易签名、TLS签名、可信执行环境（TEE）证明以及零知识证明等各种工具为预言机服务提供加密证明。</w:t>
      </w:r>
    </w:p>
    <w:p>
      <w:pPr>
        <w:numPr>
          <w:numId w:val="5"/>
        </w:numPr>
        <w:spacing w:before="120" w:after="120" w:line="288" w:lineRule="auto"/>
        <w:ind w:left="0"/>
        <w:jc w:val="left"/>
      </w:pPr>
      <w:r>
        <w:rPr>
          <w:rFonts w:eastAsia="等线" w:ascii="Arial" w:cs="Arial" w:hAnsi="Arial"/>
          <w:b w:val="true"/>
          <w:sz w:val="22"/>
        </w:rPr>
        <w:t>计算</w:t>
      </w:r>
      <w:r>
        <w:rPr>
          <w:rFonts w:eastAsia="等线" w:ascii="Arial" w:cs="Arial" w:hAnsi="Arial"/>
          <w:sz w:val="22"/>
        </w:rPr>
        <w:t>——对数据进行运算，比如基于多个预言机提交的数据计算出中位数，或基于不同类型的数据（如：个人风险情况、市场费率和资金成本等）生成保险报价。</w:t>
      </w:r>
    </w:p>
    <w:p>
      <w:pPr>
        <w:numPr>
          <w:numId w:val="6"/>
        </w:numPr>
        <w:spacing w:before="120" w:after="120" w:line="288" w:lineRule="auto"/>
        <w:ind w:left="0"/>
        <w:jc w:val="left"/>
      </w:pPr>
      <w:r>
        <w:rPr>
          <w:rFonts w:eastAsia="等线" w:ascii="Arial" w:cs="Arial" w:hAnsi="Arial"/>
          <w:b w:val="true"/>
          <w:sz w:val="22"/>
        </w:rPr>
        <w:t>广播</w:t>
      </w:r>
      <w:r>
        <w:rPr>
          <w:rFonts w:eastAsia="等线" w:ascii="Arial" w:cs="Arial" w:hAnsi="Arial"/>
          <w:sz w:val="22"/>
        </w:rPr>
        <w:t>——通过在区块链上签名并广播交易将数据和相关证明发送至链上智能合约。</w:t>
      </w:r>
    </w:p>
    <w:p>
      <w:pPr>
        <w:numPr>
          <w:numId w:val="7"/>
        </w:numPr>
        <w:spacing w:before="120" w:after="120" w:line="288" w:lineRule="auto"/>
        <w:ind w:left="0"/>
        <w:jc w:val="left"/>
      </w:pPr>
      <w:r>
        <w:rPr>
          <w:rFonts w:eastAsia="等线" w:ascii="Arial" w:cs="Arial" w:hAnsi="Arial"/>
          <w:b w:val="true"/>
          <w:sz w:val="22"/>
        </w:rPr>
        <w:t>数据输出（可选）</w:t>
      </w:r>
      <w:r>
        <w:rPr>
          <w:rFonts w:eastAsia="等线" w:ascii="Arial" w:cs="Arial" w:hAnsi="Arial"/>
          <w:sz w:val="22"/>
        </w:rPr>
        <w:t>——在智能合约执行时向链下系统发送数据，比如将支付指令发送至传统支付网络，或与信息物理系统进行交互。</w:t>
      </w:r>
    </w:p>
    <w:p>
      <w:pPr>
        <w:spacing w:before="120" w:after="120" w:line="288" w:lineRule="auto"/>
        <w:ind w:left="0"/>
        <w:jc w:val="left"/>
      </w:pPr>
      <w:r>
        <w:rPr>
          <w:rFonts w:eastAsia="等线" w:ascii="Arial" w:cs="Arial" w:hAnsi="Arial"/>
          <w:sz w:val="22"/>
        </w:rPr>
        <w:t>为了实现上述功能，预言机系统必须要在链上和链下同时运行。</w:t>
      </w:r>
      <w:r>
        <w:rPr>
          <w:rFonts w:eastAsia="等线" w:ascii="Arial" w:cs="Arial" w:hAnsi="Arial"/>
          <w:b w:val="true"/>
          <w:sz w:val="22"/>
        </w:rPr>
        <w:t>链上模块</w:t>
      </w:r>
      <w:r>
        <w:rPr>
          <w:rFonts w:eastAsia="等线" w:ascii="Arial" w:cs="Arial" w:hAnsi="Arial"/>
          <w:sz w:val="22"/>
        </w:rPr>
        <w:t>的作用是与区块链交互（等待数据响应）、广播数据、发送证明、获取区块链数据以及有时在链上进行运算。</w:t>
      </w:r>
      <w:r>
        <w:rPr>
          <w:rFonts w:eastAsia="等线" w:ascii="Arial" w:cs="Arial" w:hAnsi="Arial"/>
          <w:b w:val="true"/>
          <w:sz w:val="22"/>
        </w:rPr>
        <w:t>链下模块</w:t>
      </w:r>
      <w:r>
        <w:rPr>
          <w:rFonts w:eastAsia="等线" w:ascii="Arial" w:cs="Arial" w:hAnsi="Arial"/>
          <w:sz w:val="22"/>
        </w:rPr>
        <w:t>的作用是处理数据请求、获取链下数据并转换格式、将区块链数据发送至链下系统以及在更高级的预言机网络中进行运算。</w:t>
      </w:r>
    </w:p>
    <w:p>
      <w:pPr>
        <w:pStyle w:val="2"/>
        <w:spacing w:before="320" w:after="120" w:line="288" w:lineRule="auto"/>
        <w:ind w:left="0"/>
        <w:jc w:val="left"/>
        <w:outlineLvl w:val="1"/>
      </w:pPr>
      <w:bookmarkStart w:name="heading_3" w:id="3"/>
      <w:r>
        <w:rPr>
          <w:rFonts w:eastAsia="等线" w:ascii="Arial" w:cs="Arial" w:hAnsi="Arial"/>
          <w:b w:val="true"/>
          <w:sz w:val="32"/>
        </w:rPr>
        <w:t>分类</w:t>
      </w:r>
      <w:bookmarkEnd w:id="3"/>
    </w:p>
    <w:p>
      <w:pPr>
        <w:spacing w:before="120" w:after="120" w:line="288" w:lineRule="auto"/>
        <w:ind w:left="0"/>
        <w:jc w:val="left"/>
      </w:pPr>
      <w:r>
        <w:rPr>
          <w:rFonts w:eastAsia="等线" w:ascii="Arial" w:cs="Arial" w:hAnsi="Arial"/>
          <w:b w:val="true"/>
          <w:sz w:val="22"/>
        </w:rPr>
        <w:t>软件预言机</w:t>
      </w:r>
      <w:r>
        <w:rPr>
          <w:rFonts w:eastAsia="等线" w:ascii="Arial" w:cs="Arial" w:hAnsi="Arial"/>
          <w:sz w:val="22"/>
        </w:rPr>
        <w:t>：从在线数据源（如API）获取数据，适用于公共和可访问的信息。</w:t>
      </w:r>
    </w:p>
    <w:p>
      <w:pPr>
        <w:spacing w:before="120" w:after="120" w:line="288" w:lineRule="auto"/>
        <w:ind w:left="0"/>
        <w:jc w:val="left"/>
      </w:pPr>
      <w:r>
        <w:rPr>
          <w:rFonts w:eastAsia="等线" w:ascii="Arial" w:cs="Arial" w:hAnsi="Arial"/>
          <w:b w:val="true"/>
          <w:sz w:val="22"/>
        </w:rPr>
        <w:t>硬件预言机</w:t>
      </w:r>
      <w:r>
        <w:rPr>
          <w:rFonts w:eastAsia="等线" w:ascii="Arial" w:cs="Arial" w:hAnsi="Arial"/>
          <w:sz w:val="22"/>
        </w:rPr>
        <w:t>：通过传感器等设备获取物理世界的数据，如温度、湿度等。</w:t>
      </w:r>
    </w:p>
    <w:p>
      <w:pPr>
        <w:spacing w:before="120" w:after="120" w:line="288" w:lineRule="auto"/>
        <w:ind w:left="0"/>
        <w:jc w:val="left"/>
      </w:pPr>
      <w:r>
        <w:rPr>
          <w:rFonts w:eastAsia="等线" w:ascii="Arial" w:cs="Arial" w:hAnsi="Arial"/>
          <w:b w:val="true"/>
          <w:sz w:val="22"/>
        </w:rPr>
        <w:t>中心化预言机</w:t>
      </w:r>
      <w:r>
        <w:rPr>
          <w:rFonts w:eastAsia="等线" w:ascii="Arial" w:cs="Arial" w:hAnsi="Arial"/>
          <w:sz w:val="22"/>
        </w:rPr>
        <w:t>：由单一实体控制，虽然实现简单，但存在信任问题和潜在的单点故障风险。</w:t>
      </w:r>
    </w:p>
    <w:p>
      <w:pPr>
        <w:spacing w:before="120" w:after="120" w:line="288" w:lineRule="auto"/>
        <w:ind w:left="0"/>
        <w:jc w:val="left"/>
      </w:pPr>
      <w:r>
        <w:rPr>
          <w:rFonts w:eastAsia="等线" w:ascii="Arial" w:cs="Arial" w:hAnsi="Arial"/>
          <w:b w:val="true"/>
          <w:sz w:val="22"/>
        </w:rPr>
        <w:t>去中心化预言机</w:t>
      </w:r>
      <w:r>
        <w:rPr>
          <w:rFonts w:eastAsia="等线" w:ascii="Arial" w:cs="Arial" w:hAnsi="Arial"/>
          <w:sz w:val="22"/>
        </w:rPr>
        <w:t>：通过多个独立节点提供数据，降低单点故障的风险，增强数据的可靠性。</w:t>
      </w:r>
    </w:p>
    <w:p>
      <w:pPr>
        <w:pStyle w:val="2"/>
        <w:spacing w:before="320" w:after="120" w:line="288" w:lineRule="auto"/>
        <w:ind w:left="0"/>
        <w:jc w:val="left"/>
        <w:outlineLvl w:val="1"/>
      </w:pPr>
      <w:bookmarkStart w:name="heading_4" w:id="4"/>
      <w:r>
        <w:rPr>
          <w:rFonts w:eastAsia="等线" w:ascii="Arial" w:cs="Arial" w:hAnsi="Arial"/>
          <w:b w:val="true"/>
          <w:sz w:val="32"/>
        </w:rPr>
        <w:t>挑战</w:t>
      </w:r>
      <w:bookmarkEnd w:id="4"/>
    </w:p>
    <w:p>
      <w:pPr>
        <w:numPr>
          <w:numId w:val="8"/>
        </w:numPr>
        <w:spacing w:before="120" w:after="120" w:line="288" w:lineRule="auto"/>
        <w:ind w:left="0"/>
        <w:jc w:val="left"/>
      </w:pPr>
      <w:r>
        <w:rPr>
          <w:rFonts w:eastAsia="等线" w:ascii="Arial" w:cs="Arial" w:hAnsi="Arial"/>
          <w:b w:val="true"/>
          <w:sz w:val="22"/>
        </w:rPr>
        <w:t>数据源可信</w:t>
      </w:r>
    </w:p>
    <w:p>
      <w:pPr>
        <w:numPr>
          <w:numId w:val="9"/>
        </w:numPr>
        <w:spacing w:before="120" w:after="120" w:line="288" w:lineRule="auto"/>
        <w:ind w:left="453"/>
        <w:jc w:val="left"/>
      </w:pPr>
      <w:r>
        <w:rPr>
          <w:rFonts w:eastAsia="等线" w:ascii="Arial" w:cs="Arial" w:hAnsi="Arial"/>
          <w:sz w:val="22"/>
        </w:rPr>
        <w:t>数据源选取和可信认证。预言机需要谨慎选择外部数据源，必须保证对每个选取的外部数据源，都可以验证是可信的</w:t>
      </w:r>
    </w:p>
    <w:p>
      <w:pPr>
        <w:numPr>
          <w:numId w:val="10"/>
        </w:numPr>
        <w:spacing w:before="120" w:after="120" w:line="288" w:lineRule="auto"/>
        <w:ind w:left="453"/>
        <w:jc w:val="left"/>
      </w:pPr>
      <w:r>
        <w:rPr>
          <w:rFonts w:eastAsia="等线" w:ascii="Arial" w:cs="Arial" w:hAnsi="Arial"/>
          <w:sz w:val="22"/>
        </w:rPr>
        <w:t>数据获取有标准流程。开发者必须明确执行引擎、用户、外部数据源与预言机的数据交换流程，且对于不同的数据源类型要能够统一或明确区分数据的交互流程，确保交互方案可执行可落地</w:t>
      </w:r>
    </w:p>
    <w:p>
      <w:pPr>
        <w:numPr>
          <w:numId w:val="11"/>
        </w:numPr>
        <w:spacing w:before="120" w:after="120" w:line="288" w:lineRule="auto"/>
        <w:ind w:left="453"/>
        <w:jc w:val="left"/>
      </w:pPr>
      <w:r>
        <w:rPr>
          <w:rFonts w:eastAsia="等线" w:ascii="Arial" w:cs="Arial" w:hAnsi="Arial"/>
          <w:sz w:val="22"/>
        </w:rPr>
        <w:t>数据交互格式统一。不同的数据源类型有不同的数据交互格式，以传感器作为数据源和以Web作为数据源获取到的数据格式是不一样的，针对不同情况，明确统一的数据编解码层，以对不同数据源的数据进行请求和解释。</w:t>
      </w:r>
    </w:p>
    <w:p>
      <w:pPr>
        <w:numPr>
          <w:numId w:val="12"/>
        </w:numPr>
        <w:spacing w:before="120" w:after="120" w:line="288" w:lineRule="auto"/>
        <w:ind w:left="0"/>
        <w:jc w:val="left"/>
      </w:pPr>
      <w:r>
        <w:rPr>
          <w:rFonts w:eastAsia="等线" w:ascii="Arial" w:cs="Arial" w:hAnsi="Arial"/>
          <w:b w:val="true"/>
          <w:sz w:val="22"/>
        </w:rPr>
        <w:t>数据传输的安全性</w:t>
      </w:r>
    </w:p>
    <w:p>
      <w:pPr>
        <w:numPr>
          <w:numId w:val="13"/>
        </w:numPr>
        <w:spacing w:before="120" w:after="120" w:line="288" w:lineRule="auto"/>
        <w:ind w:left="453"/>
        <w:jc w:val="left"/>
      </w:pPr>
      <w:r>
        <w:rPr>
          <w:rFonts w:eastAsia="等线" w:ascii="Arial" w:cs="Arial" w:hAnsi="Arial"/>
          <w:sz w:val="22"/>
        </w:rPr>
        <w:t>数据从网上到本地，采用HTTPS协议（底层采用TLS协议）去保障连接和数据的正确性、完整性。</w:t>
      </w:r>
    </w:p>
    <w:p>
      <w:pPr>
        <w:numPr>
          <w:numId w:val="14"/>
        </w:numPr>
        <w:spacing w:before="120" w:after="120" w:line="288" w:lineRule="auto"/>
        <w:ind w:left="453"/>
        <w:jc w:val="left"/>
      </w:pPr>
      <w:r>
        <w:rPr>
          <w:rFonts w:eastAsia="等线" w:ascii="Arial" w:cs="Arial" w:hAnsi="Arial"/>
          <w:sz w:val="22"/>
        </w:rPr>
        <w:t>数据从本地到链上，预言机采用可信执行环境 ( TEE ) 技术，TEE是CPU内一块安全区域，和操作系统独立运行</w:t>
      </w:r>
    </w:p>
    <w:p>
      <w:pPr>
        <w:pStyle w:val="2"/>
        <w:spacing w:before="320" w:after="120" w:line="288" w:lineRule="auto"/>
        <w:ind w:left="0"/>
        <w:jc w:val="left"/>
        <w:outlineLvl w:val="1"/>
      </w:pPr>
      <w:bookmarkStart w:name="heading_5" w:id="5"/>
      <w:r>
        <w:rPr>
          <w:rFonts w:eastAsia="等线" w:ascii="Arial" w:cs="Arial" w:hAnsi="Arial"/>
          <w:b w:val="true"/>
          <w:sz w:val="32"/>
        </w:rPr>
        <w:t>赛道</w:t>
      </w:r>
      <w:bookmarkEnd w:id="5"/>
    </w:p>
    <w:p>
      <w:pPr>
        <w:pStyle w:val="3"/>
        <w:spacing w:before="300" w:after="120" w:line="288" w:lineRule="auto"/>
        <w:ind w:left="0"/>
        <w:jc w:val="left"/>
        <w:outlineLvl w:val="2"/>
      </w:pPr>
      <w:bookmarkStart w:name="heading_6" w:id="6"/>
      <w:r>
        <w:rPr>
          <w:rFonts w:eastAsia="等线" w:ascii="Arial" w:cs="Arial" w:hAnsi="Arial"/>
          <w:b w:val="true"/>
          <w:sz w:val="30"/>
        </w:rPr>
        <w:t>发展历程</w:t>
      </w:r>
      <w:bookmarkEnd w:id="6"/>
    </w:p>
    <w:p>
      <w:pPr>
        <w:spacing w:before="120" w:after="120" w:line="288" w:lineRule="auto"/>
        <w:ind w:left="0"/>
        <w:jc w:val="center"/>
      </w:pPr>
      <w:r>
        <w:drawing>
          <wp:inline distT="0" distR="0" distB="0" distL="0">
            <wp:extent cx="5257800" cy="15049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1504950"/>
                    </a:xfrm>
                    <a:prstGeom prst="rect">
                      <a:avLst/>
                    </a:prstGeom>
                  </pic:spPr>
                </pic:pic>
              </a:graphicData>
            </a:graphic>
          </wp:inline>
        </w:drawing>
      </w:r>
    </w:p>
    <w:p>
      <w:pPr>
        <w:numPr>
          <w:numId w:val="15"/>
        </w:numPr>
        <w:spacing w:before="120" w:after="120" w:line="288" w:lineRule="auto"/>
        <w:ind w:left="0"/>
        <w:jc w:val="left"/>
      </w:pPr>
      <w:r>
        <w:rPr>
          <w:rFonts w:eastAsia="等线" w:ascii="Arial" w:cs="Arial" w:hAnsi="Arial"/>
          <w:sz w:val="22"/>
        </w:rPr>
        <w:t>2014 及以前</w:t>
      </w:r>
    </w:p>
    <w:p>
      <w:pPr>
        <w:spacing w:before="120" w:after="120" w:line="288" w:lineRule="auto"/>
        <w:ind w:left="0"/>
        <w:jc w:val="left"/>
      </w:pPr>
      <w:r>
        <w:rPr>
          <w:rFonts w:eastAsia="等线" w:ascii="Arial" w:cs="Arial" w:hAnsi="Arial"/>
          <w:sz w:val="22"/>
        </w:rPr>
        <w:t>Augur 是一个去中心化预测市场，使用户能够将数字资产押在现实世界事件的结果上。预言机需求初现。Vitalik 是该项目的顾问。</w:t>
      </w:r>
    </w:p>
    <w:p>
      <w:pPr>
        <w:numPr>
          <w:numId w:val="16"/>
        </w:numPr>
        <w:spacing w:before="120" w:after="120" w:line="288" w:lineRule="auto"/>
        <w:ind w:left="0"/>
        <w:jc w:val="left"/>
      </w:pPr>
      <w:r>
        <w:rPr>
          <w:rFonts w:eastAsia="等线" w:ascii="Arial" w:cs="Arial" w:hAnsi="Arial"/>
          <w:sz w:val="22"/>
        </w:rPr>
        <w:t>2015-2016 阶段</w:t>
      </w:r>
    </w:p>
    <w:p>
      <w:pPr>
        <w:spacing w:before="120" w:after="120" w:line="288" w:lineRule="auto"/>
        <w:ind w:left="0"/>
        <w:jc w:val="left"/>
      </w:pPr>
      <w:r>
        <w:rPr>
          <w:rFonts w:eastAsia="等线" w:ascii="Arial" w:cs="Arial" w:hAnsi="Arial"/>
          <w:sz w:val="22"/>
        </w:rPr>
        <w:t>以太坊联合创始人 Vitalik Buterin 提出预言机概念，强调其作为智能合约获取外部数据的关键作用。2015 年，Oraclize（现为 Provable）推出首个去中心化预言机服务，支持以太坊智能合约获取外部数据。同年，以太坊主网上线。</w:t>
      </w:r>
    </w:p>
    <w:p>
      <w:pPr>
        <w:numPr>
          <w:numId w:val="17"/>
        </w:numPr>
        <w:spacing w:before="120" w:after="120" w:line="288" w:lineRule="auto"/>
        <w:ind w:left="0"/>
        <w:jc w:val="left"/>
      </w:pPr>
      <w:r>
        <w:rPr>
          <w:rFonts w:eastAsia="等线" w:ascii="Arial" w:cs="Arial" w:hAnsi="Arial"/>
          <w:sz w:val="22"/>
        </w:rPr>
        <w:t>2017-2018 阶段</w:t>
      </w:r>
    </w:p>
    <w:p>
      <w:pPr>
        <w:spacing w:before="120" w:after="120" w:line="288" w:lineRule="auto"/>
        <w:ind w:left="0"/>
        <w:jc w:val="left"/>
      </w:pPr>
      <w:r>
        <w:rPr>
          <w:rFonts w:eastAsia="等线" w:ascii="Arial" w:cs="Arial" w:hAnsi="Arial"/>
          <w:sz w:val="22"/>
        </w:rPr>
        <w:t>Chainlink 项目在 2017 年成立，提出去中心化预言机网络（DON）的概念，旨在解决单点故障问题。去中心化金融（DeFi）尚未爆发，预言机需求主要集中于简单数据调用。</w:t>
      </w:r>
    </w:p>
    <w:p>
      <w:pPr>
        <w:numPr>
          <w:numId w:val="18"/>
        </w:numPr>
        <w:spacing w:before="120" w:after="120" w:line="288" w:lineRule="auto"/>
        <w:ind w:left="0"/>
        <w:jc w:val="left"/>
      </w:pPr>
      <w:r>
        <w:rPr>
          <w:rFonts w:eastAsia="等线" w:ascii="Arial" w:cs="Arial" w:hAnsi="Arial"/>
          <w:sz w:val="22"/>
        </w:rPr>
        <w:t>2019-2021 阶段</w:t>
      </w:r>
    </w:p>
    <w:p>
      <w:pPr>
        <w:spacing w:before="120" w:after="120" w:line="288" w:lineRule="auto"/>
        <w:ind w:left="0"/>
        <w:jc w:val="left"/>
      </w:pPr>
      <w:r>
        <w:rPr>
          <w:rFonts w:eastAsia="等线" w:ascii="Arial" w:cs="Arial" w:hAnsi="Arial"/>
          <w:sz w:val="22"/>
        </w:rPr>
        <w:t>2020 年 DeFi Summer 来临，预言机作为 DeFi 最核心的外部数据服务商，为去中心化应用提供喂价服务。由于需求的爆发，Chainlink 之外的预言机项目如 Band Protocol、Tellor 相继推出，竞争格局初现。</w:t>
      </w:r>
    </w:p>
    <w:p>
      <w:pPr>
        <w:numPr>
          <w:numId w:val="19"/>
        </w:numPr>
        <w:spacing w:before="120" w:after="120" w:line="288" w:lineRule="auto"/>
        <w:ind w:left="0"/>
        <w:jc w:val="left"/>
      </w:pPr>
      <w:r>
        <w:rPr>
          <w:rFonts w:eastAsia="等线" w:ascii="Arial" w:cs="Arial" w:hAnsi="Arial"/>
          <w:sz w:val="22"/>
        </w:rPr>
        <w:t>2022-2023 阶段</w:t>
      </w:r>
    </w:p>
    <w:p>
      <w:pPr>
        <w:spacing w:before="120" w:after="120" w:line="288" w:lineRule="auto"/>
        <w:ind w:left="0"/>
        <w:jc w:val="left"/>
      </w:pPr>
      <w:r>
        <w:rPr>
          <w:rFonts w:eastAsia="等线" w:ascii="Arial" w:cs="Arial" w:hAnsi="Arial"/>
          <w:sz w:val="22"/>
        </w:rPr>
        <w:t>DeFi 市场进入调整期，但预言机赛道持续创新。跨链互操作性和模块化区块链成为行业趋势，预言机服务向多链、多场景扩展。Chainlink 推出跨链互操作性协议（CCIP），支持跨链数据传输和智能合约交互。Pyth Network（专注于金融数据的预言机）主网上线，吸引多家传统金融机构参与。</w:t>
      </w:r>
    </w:p>
    <w:p>
      <w:pPr>
        <w:numPr>
          <w:numId w:val="20"/>
        </w:numPr>
        <w:spacing w:before="120" w:after="120" w:line="288" w:lineRule="auto"/>
        <w:ind w:left="0"/>
        <w:jc w:val="left"/>
      </w:pPr>
      <w:r>
        <w:rPr>
          <w:rFonts w:eastAsia="等线" w:ascii="Arial" w:cs="Arial" w:hAnsi="Arial"/>
          <w:sz w:val="22"/>
        </w:rPr>
        <w:t>2024-2025 阶段</w:t>
      </w:r>
    </w:p>
    <w:p>
      <w:pPr>
        <w:spacing w:before="120" w:after="120" w:line="288" w:lineRule="auto"/>
        <w:ind w:left="0"/>
        <w:jc w:val="left"/>
      </w:pPr>
      <w:r>
        <w:rPr>
          <w:rFonts w:eastAsia="等线" w:ascii="Arial" w:cs="Arial" w:hAnsi="Arial"/>
          <w:sz w:val="22"/>
        </w:rPr>
        <w:t>预言机服务从 DeFi 扩展到游戏、NFT、保险等领域。DePIN 应用开始对物联网预言机有更多的需求。AI 与预言机结合，探索智能合约自动化执行的新场景。</w:t>
      </w:r>
    </w:p>
    <w:p>
      <w:pPr>
        <w:pStyle w:val="3"/>
        <w:spacing w:before="300" w:after="120" w:line="288" w:lineRule="auto"/>
        <w:ind w:left="0"/>
        <w:jc w:val="left"/>
        <w:outlineLvl w:val="2"/>
      </w:pPr>
      <w:bookmarkStart w:name="heading_7" w:id="7"/>
      <w:r>
        <w:rPr>
          <w:rFonts w:eastAsia="等线" w:ascii="Arial" w:cs="Arial" w:hAnsi="Arial"/>
          <w:b w:val="true"/>
          <w:sz w:val="30"/>
        </w:rPr>
        <w:t>市场现状</w:t>
      </w:r>
      <w:bookmarkEnd w:id="7"/>
    </w:p>
    <w:p>
      <w:pPr>
        <w:spacing w:before="120" w:after="120" w:line="288" w:lineRule="auto"/>
        <w:ind w:left="0"/>
        <w:jc w:val="left"/>
      </w:pPr>
      <w:hyperlink r:id="rId6">
        <w:r>
          <w:rPr>
            <w:rFonts w:eastAsia="等线" w:ascii="Arial" w:cs="Arial" w:hAnsi="Arial"/>
            <w:color w:val="3370ff"/>
            <w:sz w:val="22"/>
          </w:rPr>
          <w:t>数据来源</w:t>
        </w:r>
      </w:hyperlink>
    </w:p>
    <w:p>
      <w:pPr>
        <w:spacing w:before="120" w:after="120" w:line="288" w:lineRule="auto"/>
        <w:ind w:left="0"/>
        <w:jc w:val="center"/>
      </w:pPr>
      <w:r>
        <w:drawing>
          <wp:inline distT="0" distR="0" distB="0" distL="0">
            <wp:extent cx="5257800" cy="19431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1943100"/>
                    </a:xfrm>
                    <a:prstGeom prst="rect">
                      <a:avLst/>
                    </a:prstGeom>
                  </pic:spPr>
                </pic:pic>
              </a:graphicData>
            </a:graphic>
          </wp:inline>
        </w:drawing>
      </w:r>
    </w:p>
    <w:p>
      <w:pPr>
        <w:spacing w:before="120" w:after="120" w:line="288" w:lineRule="auto"/>
        <w:ind w:left="0"/>
        <w:jc w:val="center"/>
      </w:pPr>
      <w:r>
        <w:drawing>
          <wp:inline distT="0" distR="0" distB="0" distL="0">
            <wp:extent cx="5257800" cy="19335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1933575"/>
                    </a:xfrm>
                    <a:prstGeom prst="rect">
                      <a:avLst/>
                    </a:prstGeom>
                  </pic:spPr>
                </pic:pic>
              </a:graphicData>
            </a:graphic>
          </wp:inline>
        </w:drawing>
      </w:r>
    </w:p>
    <w:p>
      <w:pPr>
        <w:pStyle w:val="3"/>
        <w:spacing w:before="300" w:after="120" w:line="288" w:lineRule="auto"/>
        <w:ind w:left="0"/>
        <w:jc w:val="left"/>
        <w:outlineLvl w:val="2"/>
      </w:pPr>
      <w:bookmarkStart w:name="heading_8" w:id="8"/>
      <w:r>
        <w:rPr>
          <w:rFonts w:eastAsia="等线" w:ascii="Arial" w:cs="Arial" w:hAnsi="Arial"/>
          <w:b w:val="true"/>
          <w:sz w:val="30"/>
        </w:rPr>
        <w:t>竞争模型</w:t>
      </w:r>
      <w:bookmarkEnd w:id="8"/>
    </w:p>
    <w:p>
      <w:pPr>
        <w:spacing w:before="120" w:after="120" w:line="288" w:lineRule="auto"/>
        <w:ind w:left="0"/>
        <w:jc w:val="center"/>
      </w:pPr>
      <w:r>
        <w:drawing>
          <wp:inline distT="0" distR="0" distB="0" distL="0">
            <wp:extent cx="5257800" cy="30575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3057525"/>
                    </a:xfrm>
                    <a:prstGeom prst="rect">
                      <a:avLst/>
                    </a:prstGeom>
                  </pic:spPr>
                </pic:pic>
              </a:graphicData>
            </a:graphic>
          </wp:inline>
        </w:drawing>
      </w:r>
    </w:p>
    <w:p>
      <w:pPr>
        <w:pStyle w:val="1"/>
        <w:spacing w:before="380" w:after="140" w:line="288" w:lineRule="auto"/>
        <w:ind w:left="0"/>
        <w:jc w:val="left"/>
        <w:outlineLvl w:val="0"/>
      </w:pPr>
      <w:bookmarkStart w:name="heading_9" w:id="9"/>
      <w:r>
        <w:rPr>
          <w:rFonts w:eastAsia="等线" w:ascii="Arial" w:cs="Arial" w:hAnsi="Arial"/>
          <w:b w:val="true"/>
          <w:sz w:val="36"/>
        </w:rPr>
        <w:t>Chainlink</w:t>
      </w:r>
      <w:bookmarkEnd w:id="9"/>
    </w:p>
    <w:p>
      <w:pPr>
        <w:spacing w:before="120" w:after="120" w:line="288" w:lineRule="auto"/>
        <w:ind w:left="0" w:firstLine="0"/>
        <w:jc w:val="left"/>
      </w:pPr>
      <w:hyperlink r:id="rId10">
        <w:r>
          <w:rPr>
            <w:rFonts w:eastAsia="等线" w:ascii="Arial" w:cs="Arial" w:hAnsi="Arial"/>
            <w:color w:val="3370ff"/>
            <w:sz w:val="22"/>
          </w:rPr>
          <w:t>Chainlink</w:t>
        </w:r>
      </w:hyperlink>
      <w:r>
        <w:rPr>
          <w:rFonts w:eastAsia="等线" w:ascii="Arial" w:cs="Arial" w:hAnsi="Arial"/>
          <w:sz w:val="22"/>
        </w:rPr>
        <w:t xml:space="preserve"> 是一个去中心化的预言机网络，旨在将区块链智能合约安全可靠地连接至链下系统。Chainlink采用了与区块链相同的模式，建立了去中心化的独立预言机网络，网络中的预言机从多个数据源共同获取数据，将数据聚合，并将经过验证的聚合数据传输至智能合约，触发合约执行，在整个过程中规避了所有中心化风险。</w:t>
      </w:r>
    </w:p>
    <w:p>
      <w:pPr>
        <w:spacing w:before="120" w:after="120" w:line="288" w:lineRule="auto"/>
        <w:ind w:left="0"/>
        <w:jc w:val="center"/>
      </w:pPr>
      <w:r>
        <w:drawing>
          <wp:inline distT="0" distR="0" distB="0" distL="0">
            <wp:extent cx="5257800" cy="62103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5257800" cy="6210300"/>
                    </a:xfrm>
                    <a:prstGeom prst="rect">
                      <a:avLst/>
                    </a:prstGeom>
                  </pic:spPr>
                </pic:pic>
              </a:graphicData>
            </a:graphic>
          </wp:inline>
        </w:drawing>
      </w:r>
    </w:p>
    <w:p>
      <w:pPr>
        <w:numPr>
          <w:numId w:val="21"/>
        </w:numPr>
        <w:spacing w:before="120" w:after="120" w:line="288" w:lineRule="auto"/>
        <w:ind w:left="0"/>
        <w:jc w:val="left"/>
      </w:pPr>
      <w:r>
        <w:rPr>
          <w:rFonts w:eastAsia="等线" w:ascii="Arial" w:cs="Arial" w:hAnsi="Arial"/>
          <w:b w:val="true"/>
          <w:sz w:val="22"/>
        </w:rPr>
        <w:t>开源</w:t>
      </w:r>
      <w:r>
        <w:rPr>
          <w:rFonts w:eastAsia="等线" w:ascii="Arial" w:cs="Arial" w:hAnsi="Arial"/>
          <w:sz w:val="22"/>
        </w:rPr>
        <w:t>——Chainlink是开源技术，整个区块链社区可以独立验证Chainlink源代码和功能的安全性和可靠性，并不断进行完善。</w:t>
      </w:r>
    </w:p>
    <w:p>
      <w:pPr>
        <w:numPr>
          <w:numId w:val="22"/>
        </w:numPr>
        <w:spacing w:before="120" w:after="120" w:line="288" w:lineRule="auto"/>
        <w:ind w:left="0"/>
        <w:jc w:val="left"/>
      </w:pPr>
      <w:r>
        <w:rPr>
          <w:rFonts w:eastAsia="等线" w:ascii="Arial" w:cs="Arial" w:hAnsi="Arial"/>
          <w:b w:val="true"/>
          <w:sz w:val="22"/>
        </w:rPr>
        <w:t>外部适配器</w:t>
      </w:r>
      <w:r>
        <w:rPr>
          <w:rFonts w:eastAsia="等线" w:ascii="Arial" w:cs="Arial" w:hAnsi="Arial"/>
          <w:sz w:val="22"/>
        </w:rPr>
        <w:t>——节点可以安全地储存API秘钥并管理账户登录信息，这使智能合约能够从任何链下系统和API获取数据，包括受密码保护的认证API。</w:t>
      </w:r>
    </w:p>
    <w:p>
      <w:pPr>
        <w:numPr>
          <w:numId w:val="23"/>
        </w:numPr>
        <w:spacing w:before="120" w:after="120" w:line="288" w:lineRule="auto"/>
        <w:ind w:left="0"/>
        <w:jc w:val="left"/>
      </w:pPr>
      <w:r>
        <w:rPr>
          <w:rFonts w:eastAsia="等线" w:ascii="Arial" w:cs="Arial" w:hAnsi="Arial"/>
          <w:b w:val="true"/>
          <w:sz w:val="22"/>
        </w:rPr>
        <w:t>去中心化</w:t>
      </w:r>
      <w:r>
        <w:rPr>
          <w:rFonts w:eastAsia="等线" w:ascii="Arial" w:cs="Arial" w:hAnsi="Arial"/>
          <w:sz w:val="22"/>
        </w:rPr>
        <w:t>——在节点和数据源层面都实现去中心化，避免出现节点或数据源的单点失效，为用户保障数据传输的及时性和完整性。</w:t>
      </w:r>
    </w:p>
    <w:p>
      <w:pPr>
        <w:numPr>
          <w:numId w:val="24"/>
        </w:numPr>
        <w:spacing w:before="120" w:after="120" w:line="288" w:lineRule="auto"/>
        <w:ind w:left="0"/>
        <w:jc w:val="left"/>
      </w:pPr>
      <w:r>
        <w:rPr>
          <w:rFonts w:eastAsia="等线" w:ascii="Arial" w:cs="Arial" w:hAnsi="Arial"/>
          <w:b w:val="true"/>
          <w:sz w:val="22"/>
        </w:rPr>
        <w:t>数据签名</w:t>
      </w:r>
      <w:r>
        <w:rPr>
          <w:rFonts w:eastAsia="等线" w:ascii="Arial" w:cs="Arial" w:hAnsi="Arial"/>
          <w:sz w:val="22"/>
        </w:rPr>
        <w:t>——节点需要对发送至智能合约的数据进行加密签名，因此用户可以查看哪个节点发送了哪些数据，并查看节点的历史服务记录以了解其服务水平。</w:t>
      </w:r>
    </w:p>
    <w:p>
      <w:pPr>
        <w:numPr>
          <w:numId w:val="25"/>
        </w:numPr>
        <w:spacing w:before="120" w:after="120" w:line="288" w:lineRule="auto"/>
        <w:ind w:left="0"/>
        <w:jc w:val="left"/>
      </w:pPr>
      <w:r>
        <w:rPr>
          <w:rFonts w:eastAsia="等线" w:ascii="Arial" w:cs="Arial" w:hAnsi="Arial"/>
          <w:b w:val="true"/>
          <w:sz w:val="22"/>
        </w:rPr>
        <w:t>服务协议</w:t>
      </w:r>
      <w:r>
        <w:rPr>
          <w:rFonts w:eastAsia="等线" w:ascii="Arial" w:cs="Arial" w:hAnsi="Arial"/>
          <w:sz w:val="22"/>
        </w:rPr>
        <w:t>——请求数据的智能合约与预言机运营商需要在链上签署具有约束力的服务协议，约定预言机服务条款以及奖惩制度，为用户保障链下数据的质量。</w:t>
      </w:r>
    </w:p>
    <w:p>
      <w:pPr>
        <w:numPr>
          <w:numId w:val="26"/>
        </w:numPr>
        <w:spacing w:before="120" w:after="120" w:line="288" w:lineRule="auto"/>
        <w:ind w:left="0"/>
        <w:jc w:val="left"/>
      </w:pPr>
      <w:r>
        <w:rPr>
          <w:rFonts w:eastAsia="等线" w:ascii="Arial" w:cs="Arial" w:hAnsi="Arial"/>
          <w:b w:val="true"/>
          <w:sz w:val="22"/>
        </w:rPr>
        <w:t>声誉系统</w:t>
      </w:r>
      <w:r>
        <w:rPr>
          <w:rFonts w:eastAsia="等线" w:ascii="Arial" w:cs="Arial" w:hAnsi="Arial"/>
          <w:sz w:val="22"/>
        </w:rPr>
        <w:t>——将经过签名的链上数据传输至声誉系统，让用户可以做出理性选择，基于完成任务数量、服务客户数量和平均响应时间等各种指标判断节点的优劣。</w:t>
      </w:r>
    </w:p>
    <w:p>
      <w:pPr>
        <w:numPr>
          <w:numId w:val="27"/>
        </w:numPr>
        <w:spacing w:before="120" w:after="120" w:line="288" w:lineRule="auto"/>
        <w:ind w:left="0"/>
        <w:jc w:val="left"/>
      </w:pPr>
      <w:r>
        <w:rPr>
          <w:rFonts w:eastAsia="等线" w:ascii="Arial" w:cs="Arial" w:hAnsi="Arial"/>
          <w:b w:val="true"/>
          <w:sz w:val="22"/>
        </w:rPr>
        <w:t>认证服务</w:t>
      </w:r>
      <w:r>
        <w:rPr>
          <w:rFonts w:eastAsia="等线" w:ascii="Arial" w:cs="Arial" w:hAnsi="Arial"/>
          <w:sz w:val="22"/>
        </w:rPr>
        <w:t>——为节点提供KYC、节点地理位置以及基础架构安全评估等认证，提升节点的安全性和可靠性。</w:t>
      </w:r>
    </w:p>
    <w:p>
      <w:pPr>
        <w:numPr>
          <w:numId w:val="28"/>
        </w:numPr>
        <w:spacing w:before="120" w:after="120" w:line="288" w:lineRule="auto"/>
        <w:ind w:left="0"/>
        <w:jc w:val="left"/>
      </w:pPr>
      <w:r>
        <w:rPr>
          <w:rFonts w:eastAsia="等线" w:ascii="Arial" w:cs="Arial" w:hAnsi="Arial"/>
          <w:b w:val="true"/>
          <w:sz w:val="22"/>
        </w:rPr>
        <w:t>高级加密技术和硬件保护</w:t>
      </w:r>
      <w:r>
        <w:rPr>
          <w:rFonts w:eastAsia="等线" w:ascii="Arial" w:cs="Arial" w:hAnsi="Arial"/>
          <w:sz w:val="22"/>
        </w:rPr>
        <w:t>——零知识证明等高级加密技术以及可信执行环境等硬件保护可以为预言机带来额外的安全保障，比如向智能合约证明数据来源（注：证明数据来自某一服务器），向预言机隐藏数据内容，以及执行链下计算等。</w:t>
      </w:r>
    </w:p>
    <w:p>
      <w:pPr>
        <w:pStyle w:val="2"/>
        <w:spacing w:before="320" w:after="120" w:line="288" w:lineRule="auto"/>
        <w:ind w:left="0"/>
        <w:jc w:val="left"/>
        <w:outlineLvl w:val="1"/>
      </w:pPr>
      <w:bookmarkStart w:name="heading_10" w:id="10"/>
      <w:r>
        <w:rPr>
          <w:rFonts w:eastAsia="等线" w:ascii="Arial" w:cs="Arial" w:hAnsi="Arial"/>
          <w:b w:val="true"/>
          <w:sz w:val="32"/>
        </w:rPr>
        <w:t>TVS</w:t>
      </w:r>
      <w:bookmarkEnd w:id="10"/>
    </w:p>
    <w:p>
      <w:pPr>
        <w:spacing w:before="120" w:after="120" w:line="288" w:lineRule="auto"/>
        <w:ind w:left="0"/>
        <w:jc w:val="center"/>
      </w:pPr>
      <w:r>
        <w:drawing>
          <wp:inline distT="0" distR="0" distB="0" distL="0">
            <wp:extent cx="5257800" cy="8191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819150"/>
                    </a:xfrm>
                    <a:prstGeom prst="rect">
                      <a:avLst/>
                    </a:prstGeom>
                  </pic:spPr>
                </pic:pic>
              </a:graphicData>
            </a:graphic>
          </wp:inline>
        </w:drawing>
      </w:r>
    </w:p>
    <w:p>
      <w:pPr>
        <w:spacing w:before="120" w:after="120" w:line="288" w:lineRule="auto"/>
        <w:ind w:left="0"/>
        <w:jc w:val="left"/>
      </w:pPr>
      <w:hyperlink r:id="rId13">
        <w:r>
          <w:rPr>
            <w:rFonts w:eastAsia="等线" w:ascii="Arial" w:cs="Arial" w:hAnsi="Arial"/>
            <w:color w:val="3370ff"/>
            <w:sz w:val="22"/>
          </w:rPr>
          <w:t>市场数据来源</w:t>
        </w:r>
      </w:hyperlink>
    </w:p>
    <w:p>
      <w:pPr>
        <w:pStyle w:val="2"/>
        <w:spacing w:before="320" w:after="120" w:line="288" w:lineRule="auto"/>
        <w:ind w:left="0"/>
        <w:jc w:val="left"/>
        <w:outlineLvl w:val="1"/>
      </w:pPr>
      <w:bookmarkStart w:name="heading_11" w:id="11"/>
      <w:r>
        <w:rPr>
          <w:rFonts w:eastAsia="等线" w:ascii="Arial" w:cs="Arial" w:hAnsi="Arial"/>
          <w:b w:val="true"/>
          <w:sz w:val="32"/>
        </w:rPr>
        <w:t>白皮书</w:t>
      </w:r>
      <w:bookmarkEnd w:id="11"/>
    </w:p>
    <w:p>
      <w:pPr>
        <w:pStyle w:val="3"/>
        <w:spacing w:before="300" w:after="120" w:line="288" w:lineRule="auto"/>
        <w:ind w:left="0"/>
        <w:jc w:val="left"/>
        <w:outlineLvl w:val="2"/>
      </w:pPr>
      <w:bookmarkStart w:name="heading_12" w:id="12"/>
      <w:r>
        <w:rPr>
          <w:rFonts w:eastAsia="等线" w:ascii="Arial" w:cs="Arial" w:hAnsi="Arial"/>
          <w:b w:val="true"/>
          <w:sz w:val="30"/>
        </w:rPr>
        <w:t>1.0</w:t>
      </w:r>
      <w:bookmarkEnd w:id="12"/>
    </w:p>
    <w:p>
      <w:pPr>
        <w:numPr>
          <w:numId w:val="29"/>
        </w:numPr>
        <w:spacing w:before="120" w:after="120" w:line="288" w:lineRule="auto"/>
        <w:ind w:left="0"/>
        <w:jc w:val="left"/>
      </w:pPr>
      <w:r>
        <w:rPr>
          <w:rFonts w:eastAsia="等线" w:ascii="Arial" w:cs="Arial" w:hAnsi="Arial"/>
          <w:b w:val="true"/>
          <w:sz w:val="22"/>
        </w:rPr>
        <w:t>核心功能：</w:t>
      </w:r>
    </w:p>
    <w:p>
      <w:pPr>
        <w:spacing w:before="120" w:after="120" w:line="288" w:lineRule="auto"/>
        <w:ind w:left="453"/>
        <w:jc w:val="left"/>
      </w:pPr>
      <w:r>
        <w:rPr>
          <w:rFonts w:eastAsia="等线" w:ascii="Arial" w:cs="Arial" w:hAnsi="Arial"/>
          <w:b w:val="true"/>
          <w:sz w:val="22"/>
        </w:rPr>
        <w:t>链下数据喂价 (Data Feeds)，</w:t>
      </w:r>
      <w:r>
        <w:rPr>
          <w:rFonts w:eastAsia="等线" w:ascii="Arial" w:cs="Arial" w:hAnsi="Arial"/>
          <w:sz w:val="22"/>
        </w:rPr>
        <w:t>1.0 版本的主要功能是安全地将外部数据（主要是金融市场的价格数据）传输到区块链上的智能合约。</w:t>
      </w:r>
    </w:p>
    <w:p>
      <w:pPr>
        <w:numPr>
          <w:numId w:val="30"/>
        </w:numPr>
        <w:spacing w:before="120" w:after="120" w:line="288" w:lineRule="auto"/>
        <w:ind w:left="0"/>
        <w:jc w:val="left"/>
      </w:pPr>
      <w:r>
        <w:rPr>
          <w:rFonts w:eastAsia="等线" w:ascii="Arial" w:cs="Arial" w:hAnsi="Arial"/>
          <w:b w:val="true"/>
          <w:sz w:val="22"/>
        </w:rPr>
        <w:t>架构：</w:t>
      </w:r>
    </w:p>
    <w:p>
      <w:pPr>
        <w:numPr>
          <w:numId w:val="31"/>
        </w:numPr>
        <w:spacing w:before="120" w:after="120" w:line="288" w:lineRule="auto"/>
        <w:ind w:left="453"/>
        <w:jc w:val="left"/>
      </w:pPr>
      <w:r>
        <w:rPr>
          <w:rFonts w:eastAsia="等线" w:ascii="Arial" w:cs="Arial" w:hAnsi="Arial"/>
          <w:b w:val="true"/>
          <w:sz w:val="22"/>
        </w:rPr>
        <w:t>独立请求模型：</w:t>
      </w:r>
      <w:r>
        <w:rPr>
          <w:rFonts w:eastAsia="等线" w:ascii="Arial" w:cs="Arial" w:hAnsi="Arial"/>
          <w:sz w:val="22"/>
        </w:rPr>
        <w:t xml:space="preserve"> 智能合约向单个 Chainlink 节点发起数据请求，节点从外部 API 获取数据并返回。</w:t>
      </w:r>
    </w:p>
    <w:p>
      <w:pPr>
        <w:numPr>
          <w:numId w:val="32"/>
        </w:numPr>
        <w:spacing w:before="120" w:after="120" w:line="288" w:lineRule="auto"/>
        <w:ind w:left="453"/>
        <w:jc w:val="left"/>
      </w:pPr>
      <w:r>
        <w:rPr>
          <w:rFonts w:eastAsia="等线" w:ascii="Arial" w:cs="Arial" w:hAnsi="Arial"/>
          <w:b w:val="true"/>
          <w:sz w:val="22"/>
        </w:rPr>
        <w:t>去中心化数据模型：</w:t>
      </w:r>
      <w:r>
        <w:rPr>
          <w:rFonts w:eastAsia="等线" w:ascii="Arial" w:cs="Arial" w:hAnsi="Arial"/>
          <w:sz w:val="22"/>
        </w:rPr>
        <w:t xml:space="preserve"> 为了提高可靠性，引入了从多个独立 Chainlink 节点聚合数据的模型，这些节点将数据提交到链上，通过链上聚合合约进行汇总。</w:t>
      </w:r>
    </w:p>
    <w:p>
      <w:pPr>
        <w:numPr>
          <w:numId w:val="33"/>
        </w:numPr>
        <w:spacing w:before="120" w:after="120" w:line="288" w:lineRule="auto"/>
        <w:ind w:left="453"/>
        <w:jc w:val="left"/>
      </w:pPr>
      <w:r>
        <w:rPr>
          <w:rFonts w:eastAsia="等线" w:ascii="Arial" w:cs="Arial" w:hAnsi="Arial"/>
          <w:b w:val="true"/>
          <w:sz w:val="22"/>
        </w:rPr>
        <w:t>Off-chain Reporting (OCR)：</w:t>
      </w:r>
      <w:r>
        <w:rPr>
          <w:rFonts w:eastAsia="等线" w:ascii="Arial" w:cs="Arial" w:hAnsi="Arial"/>
          <w:sz w:val="22"/>
        </w:rPr>
        <w:t xml:space="preserve"> 这是 Chainlink 1.0 后期引入的一项关键改进，它允许节点在链下进行数据聚合和共识，然后只将一个签名过的聚合结果提交到链上，极大地降低了 gas 成本并提高了效率。</w:t>
      </w:r>
    </w:p>
    <w:p>
      <w:pPr>
        <w:numPr>
          <w:numId w:val="34"/>
        </w:numPr>
        <w:spacing w:before="120" w:after="120" w:line="288" w:lineRule="auto"/>
        <w:ind w:left="0"/>
        <w:jc w:val="left"/>
      </w:pPr>
      <w:r>
        <w:rPr>
          <w:rFonts w:eastAsia="等线" w:ascii="Arial" w:cs="Arial" w:hAnsi="Arial"/>
          <w:b w:val="true"/>
          <w:sz w:val="22"/>
        </w:rPr>
        <w:t>主要服务：</w:t>
      </w:r>
      <w:r>
        <w:rPr>
          <w:rFonts w:eastAsia="等线" w:ascii="Arial" w:cs="Arial" w:hAnsi="Arial"/>
          <w:sz w:val="22"/>
        </w:rPr>
        <w:t xml:space="preserve"> 价格喂价 (Price Feeds)、可验证随机函数 (VRF) v1。</w:t>
      </w:r>
    </w:p>
    <w:p>
      <w:pPr>
        <w:numPr>
          <w:numId w:val="35"/>
        </w:numPr>
        <w:spacing w:before="120" w:after="120" w:line="288" w:lineRule="auto"/>
        <w:ind w:left="0"/>
        <w:jc w:val="left"/>
      </w:pPr>
      <w:r>
        <w:rPr>
          <w:rFonts w:eastAsia="等线" w:ascii="Arial" w:cs="Arial" w:hAnsi="Arial"/>
          <w:b w:val="true"/>
          <w:sz w:val="22"/>
        </w:rPr>
        <w:t>侧重：</w:t>
      </w:r>
      <w:r>
        <w:rPr>
          <w:rFonts w:eastAsia="等线" w:ascii="Arial" w:cs="Arial" w:hAnsi="Arial"/>
          <w:sz w:val="22"/>
        </w:rPr>
        <w:t xml:space="preserve"> 解决智能合约的“预言机问题”，即让智能合约安全地访问现实世界数据。</w:t>
      </w:r>
    </w:p>
    <w:p>
      <w:pPr>
        <w:pStyle w:val="3"/>
        <w:spacing w:before="300" w:after="120" w:line="288" w:lineRule="auto"/>
        <w:ind w:left="0"/>
        <w:jc w:val="left"/>
        <w:outlineLvl w:val="2"/>
      </w:pPr>
      <w:bookmarkStart w:name="heading_13" w:id="13"/>
      <w:r>
        <w:rPr>
          <w:rFonts w:eastAsia="等线" w:ascii="Arial" w:cs="Arial" w:hAnsi="Arial"/>
          <w:b w:val="true"/>
          <w:sz w:val="30"/>
        </w:rPr>
        <w:t>2.0</w:t>
      </w:r>
      <w:bookmarkEnd w:id="13"/>
    </w:p>
    <w:p>
      <w:pPr>
        <w:spacing w:before="120" w:after="120" w:line="288" w:lineRule="auto"/>
        <w:ind w:left="0"/>
        <w:jc w:val="left"/>
      </w:pPr>
      <w:r>
        <w:rPr>
          <w:rFonts w:eastAsia="等线" w:ascii="Arial" w:cs="Arial" w:hAnsi="Arial"/>
          <w:sz w:val="22"/>
        </w:rPr>
        <w:t>主要改进和新功能包括：</w:t>
      </w:r>
    </w:p>
    <w:p>
      <w:pPr>
        <w:numPr>
          <w:numId w:val="36"/>
        </w:numPr>
        <w:spacing w:before="120" w:after="120" w:line="288" w:lineRule="auto"/>
        <w:ind w:left="0"/>
        <w:jc w:val="left"/>
      </w:pPr>
      <w:r>
        <w:rPr>
          <w:rFonts w:eastAsia="等线" w:ascii="Arial" w:cs="Arial" w:hAnsi="Arial"/>
          <w:b w:val="true"/>
          <w:sz w:val="22"/>
        </w:rPr>
        <w:t>从“数据传递”到“链下计算”</w:t>
      </w:r>
    </w:p>
    <w:p>
      <w:pPr>
        <w:numPr>
          <w:numId w:val="37"/>
        </w:numPr>
        <w:spacing w:before="120" w:after="120" w:line="288" w:lineRule="auto"/>
        <w:ind w:left="453"/>
        <w:jc w:val="left"/>
      </w:pPr>
      <w:r>
        <w:rPr>
          <w:rFonts w:eastAsia="等线" w:ascii="Arial" w:cs="Arial" w:hAnsi="Arial"/>
          <w:b w:val="true"/>
          <w:sz w:val="22"/>
        </w:rPr>
        <w:t>DONs 作为计算层</w:t>
      </w:r>
    </w:p>
    <w:p>
      <w:pPr>
        <w:spacing w:before="120" w:after="120" w:line="288" w:lineRule="auto"/>
        <w:ind w:left="907"/>
        <w:jc w:val="left"/>
      </w:pPr>
      <w:r>
        <w:rPr>
          <w:rFonts w:eastAsia="等线" w:ascii="Arial" w:cs="Arial" w:hAnsi="Arial"/>
          <w:sz w:val="22"/>
        </w:rPr>
        <w:t>Chainlink 2.0 将 DONs 视为一个能够执行各种链下计算的去中心化元层，而不仅仅是数据传输。这意味着 DONs 可以处理复杂的逻辑，而这些逻辑在链上执行成本过高或无法实现。</w:t>
      </w:r>
    </w:p>
    <w:p>
      <w:pPr>
        <w:numPr>
          <w:numId w:val="38"/>
        </w:numPr>
        <w:spacing w:before="120" w:after="120" w:line="288" w:lineRule="auto"/>
        <w:ind w:left="453"/>
        <w:jc w:val="left"/>
      </w:pPr>
      <w:r>
        <w:rPr>
          <w:rFonts w:eastAsia="等线" w:ascii="Arial" w:cs="Arial" w:hAnsi="Arial"/>
          <w:b w:val="true"/>
          <w:sz w:val="22"/>
        </w:rPr>
        <w:t>混合智能合约</w:t>
      </w:r>
    </w:p>
    <w:p>
      <w:pPr>
        <w:spacing w:before="120" w:after="120" w:line="288" w:lineRule="auto"/>
        <w:ind w:left="907"/>
        <w:jc w:val="left"/>
      </w:pPr>
      <w:r>
        <w:rPr>
          <w:rFonts w:eastAsia="等线" w:ascii="Arial" w:cs="Arial" w:hAnsi="Arial"/>
          <w:sz w:val="22"/>
        </w:rPr>
        <w:t>智能合约将成为“混合”的，结合了链上代码的确定性和安全性，以及链下 DONs 提供的连接性、可扩展性、保密性和计算能力。</w:t>
      </w:r>
    </w:p>
    <w:p>
      <w:pPr>
        <w:numPr>
          <w:numId w:val="39"/>
        </w:numPr>
        <w:spacing w:before="120" w:after="120" w:line="288" w:lineRule="auto"/>
        <w:ind w:left="0"/>
        <w:jc w:val="left"/>
      </w:pPr>
      <w:r>
        <w:rPr>
          <w:rFonts w:eastAsia="等线" w:ascii="Arial" w:cs="Arial" w:hAnsi="Arial"/>
          <w:b w:val="true"/>
          <w:sz w:val="22"/>
        </w:rPr>
        <w:t>更强大的安全模型</w:t>
      </w:r>
    </w:p>
    <w:p>
      <w:pPr>
        <w:numPr>
          <w:numId w:val="40"/>
        </w:numPr>
        <w:spacing w:before="120" w:after="120" w:line="288" w:lineRule="auto"/>
        <w:ind w:left="453"/>
        <w:jc w:val="left"/>
      </w:pPr>
      <w:r>
        <w:rPr>
          <w:rFonts w:eastAsia="等线" w:ascii="Arial" w:cs="Arial" w:hAnsi="Arial"/>
          <w:b w:val="true"/>
          <w:sz w:val="22"/>
        </w:rPr>
        <w:t>超线性质押 (Super-linear Staking)</w:t>
      </w:r>
    </w:p>
    <w:p>
      <w:pPr>
        <w:spacing w:before="120" w:after="120" w:line="288" w:lineRule="auto"/>
        <w:ind w:left="907"/>
        <w:jc w:val="left"/>
      </w:pPr>
      <w:r>
        <w:rPr>
          <w:rFonts w:eastAsia="等线" w:ascii="Arial" w:cs="Arial" w:hAnsi="Arial"/>
          <w:sz w:val="22"/>
        </w:rPr>
        <w:t>Chainlink 2.0 引入了更先进的质押机制，旨在通过经济激励，以远超节点总质押金额的成本，来阻止恶意行为。攻击者需要投入的资源是所有 DON 节点抵押的总和的平方级别。</w:t>
      </w:r>
    </w:p>
    <w:p>
      <w:pPr>
        <w:numPr>
          <w:numId w:val="41"/>
        </w:numPr>
        <w:spacing w:before="120" w:after="120" w:line="288" w:lineRule="auto"/>
        <w:ind w:left="453"/>
        <w:jc w:val="left"/>
      </w:pPr>
      <w:r>
        <w:rPr>
          <w:rFonts w:eastAsia="等线" w:ascii="Arial" w:cs="Arial" w:hAnsi="Arial"/>
          <w:b w:val="true"/>
          <w:sz w:val="22"/>
        </w:rPr>
        <w:t>两层仲裁系统</w:t>
      </w:r>
    </w:p>
    <w:p>
      <w:pPr>
        <w:spacing w:before="120" w:after="120" w:line="288" w:lineRule="auto"/>
        <w:ind w:left="907"/>
        <w:jc w:val="left"/>
      </w:pPr>
      <w:r>
        <w:rPr>
          <w:rFonts w:eastAsia="等线" w:ascii="Arial" w:cs="Arial" w:hAnsi="Arial"/>
          <w:sz w:val="22"/>
        </w:rPr>
        <w:t>引入了更强大的安全保障，包括一个两层仲裁系统，以解决数据争议和确保报告的准确性。</w:t>
      </w:r>
    </w:p>
    <w:p>
      <w:pPr>
        <w:numPr>
          <w:numId w:val="42"/>
        </w:numPr>
        <w:spacing w:before="120" w:after="120" w:line="288" w:lineRule="auto"/>
        <w:ind w:left="453"/>
        <w:jc w:val="left"/>
      </w:pPr>
      <w:r>
        <w:rPr>
          <w:rFonts w:eastAsia="等线" w:ascii="Arial" w:cs="Arial" w:hAnsi="Arial"/>
          <w:b w:val="true"/>
          <w:sz w:val="22"/>
        </w:rPr>
        <w:t>去中心化警报系统、</w:t>
      </w:r>
    </w:p>
    <w:p>
      <w:pPr>
        <w:spacing w:before="120" w:after="120" w:line="288" w:lineRule="auto"/>
        <w:ind w:left="907"/>
        <w:jc w:val="left"/>
      </w:pPr>
      <w:r>
        <w:rPr>
          <w:rFonts w:eastAsia="等线" w:ascii="Arial" w:cs="Arial" w:hAnsi="Arial"/>
          <w:sz w:val="22"/>
        </w:rPr>
        <w:t>允许 DON 独立识别和报告潜在的恶意行为或数据异常。</w:t>
      </w:r>
    </w:p>
    <w:p>
      <w:pPr>
        <w:numPr>
          <w:numId w:val="43"/>
        </w:numPr>
        <w:spacing w:before="120" w:after="120" w:line="288" w:lineRule="auto"/>
        <w:ind w:left="0"/>
        <w:jc w:val="left"/>
      </w:pPr>
      <w:r>
        <w:rPr>
          <w:rFonts w:eastAsia="等线" w:ascii="Arial" w:cs="Arial" w:hAnsi="Arial"/>
          <w:b w:val="true"/>
          <w:sz w:val="22"/>
        </w:rPr>
        <w:t>扩展的服务范围</w:t>
      </w:r>
    </w:p>
    <w:p>
      <w:pPr>
        <w:numPr>
          <w:numId w:val="44"/>
        </w:numPr>
        <w:spacing w:before="120" w:after="120" w:line="288" w:lineRule="auto"/>
        <w:ind w:left="453"/>
        <w:jc w:val="left"/>
      </w:pPr>
      <w:r>
        <w:rPr>
          <w:rFonts w:eastAsia="等线" w:ascii="Arial" w:cs="Arial" w:hAnsi="Arial"/>
          <w:b w:val="true"/>
          <w:sz w:val="22"/>
        </w:rPr>
        <w:t>Chainlink Automation (原 Keepers)</w:t>
      </w:r>
    </w:p>
    <w:p>
      <w:pPr>
        <w:spacing w:before="120" w:after="120" w:line="288" w:lineRule="auto"/>
        <w:ind w:left="907"/>
        <w:jc w:val="left"/>
      </w:pPr>
      <w:r>
        <w:rPr>
          <w:rFonts w:eastAsia="等线" w:ascii="Arial" w:cs="Arial" w:hAnsi="Arial"/>
          <w:sz w:val="22"/>
        </w:rPr>
        <w:t>提供去中心化的智能合约自动化服务。例如，自动触发清算、定期执行合约功能等，而无需依赖中心化服务器。</w:t>
      </w:r>
    </w:p>
    <w:p>
      <w:pPr>
        <w:numPr>
          <w:numId w:val="45"/>
        </w:numPr>
        <w:spacing w:before="120" w:after="120" w:line="288" w:lineRule="auto"/>
        <w:ind w:left="453"/>
        <w:jc w:val="left"/>
      </w:pPr>
      <w:r>
        <w:rPr>
          <w:rFonts w:eastAsia="等线" w:ascii="Arial" w:cs="Arial" w:hAnsi="Arial"/>
          <w:b w:val="true"/>
          <w:sz w:val="22"/>
        </w:rPr>
        <w:t>Chainlink VRF v2.0+</w:t>
      </w:r>
    </w:p>
    <w:p>
      <w:pPr>
        <w:spacing w:before="120" w:after="120" w:line="288" w:lineRule="auto"/>
        <w:ind w:left="907"/>
        <w:jc w:val="left"/>
      </w:pPr>
      <w:r>
        <w:rPr>
          <w:rFonts w:eastAsia="等线" w:ascii="Arial" w:cs="Arial" w:hAnsi="Arial"/>
          <w:sz w:val="22"/>
        </w:rPr>
        <w:t>改进后的可验证随机函数，提供更低的 Gas 成本、更灵活的订阅管理和更高的安全性，广泛应用于 GameFi、NFT 和其他需要可验证随机数的场景。</w:t>
      </w:r>
    </w:p>
    <w:p>
      <w:pPr>
        <w:numPr>
          <w:numId w:val="46"/>
        </w:numPr>
        <w:spacing w:before="120" w:after="120" w:line="288" w:lineRule="auto"/>
        <w:ind w:left="453"/>
        <w:jc w:val="left"/>
      </w:pPr>
      <w:r>
        <w:rPr>
          <w:rFonts w:eastAsia="等线" w:ascii="Arial" w:cs="Arial" w:hAnsi="Arial"/>
          <w:b w:val="true"/>
          <w:sz w:val="22"/>
        </w:rPr>
        <w:t>跨链互操作协议 (CCIP - Cross-Chain Interoperability Protocol)</w:t>
      </w:r>
    </w:p>
    <w:p>
      <w:pPr>
        <w:spacing w:before="120" w:after="120" w:line="288" w:lineRule="auto"/>
        <w:ind w:left="907"/>
        <w:jc w:val="left"/>
      </w:pPr>
      <w:r>
        <w:rPr>
          <w:rFonts w:eastAsia="等线" w:ascii="Arial" w:cs="Arial" w:hAnsi="Arial"/>
          <w:sz w:val="22"/>
        </w:rPr>
        <w:t>这是 2.0 愿景中最宏伟的部分之一。CCIP 旨在提供安全、可靠且去中心化的跨链消息传递和价值转移功能，允许任何区块链上的应用与任何其他区块链上的应用通信，是实现真正的 Web3 互联互通的关键基础设施。</w:t>
      </w:r>
    </w:p>
    <w:p>
      <w:pPr>
        <w:numPr>
          <w:numId w:val="47"/>
        </w:numPr>
        <w:spacing w:before="120" w:after="120" w:line="288" w:lineRule="auto"/>
        <w:ind w:left="453"/>
        <w:jc w:val="left"/>
      </w:pPr>
      <w:r>
        <w:rPr>
          <w:rFonts w:eastAsia="等线" w:ascii="Arial" w:cs="Arial" w:hAnsi="Arial"/>
          <w:b w:val="true"/>
          <w:sz w:val="22"/>
        </w:rPr>
        <w:t>可信执行环境 (TEE) / 零知识证明 (ZKP) 整合</w:t>
      </w:r>
    </w:p>
    <w:p>
      <w:pPr>
        <w:spacing w:before="120" w:after="120" w:line="288" w:lineRule="auto"/>
        <w:ind w:left="907"/>
        <w:jc w:val="left"/>
      </w:pPr>
      <w:r>
        <w:rPr>
          <w:rFonts w:eastAsia="等线" w:ascii="Arial" w:cs="Arial" w:hAnsi="Arial"/>
          <w:sz w:val="22"/>
        </w:rPr>
        <w:t>探索使用更高级的隐私保护和数据完整性技术，例如在 TEE 内执行链下计算，或使用 ZKP 证明计算的正确性而无需透露原始数据。</w:t>
      </w:r>
    </w:p>
    <w:p>
      <w:pPr>
        <w:numPr>
          <w:numId w:val="48"/>
        </w:numPr>
        <w:spacing w:before="120" w:after="120" w:line="288" w:lineRule="auto"/>
        <w:ind w:left="453"/>
        <w:jc w:val="left"/>
      </w:pPr>
      <w:r>
        <w:rPr>
          <w:rFonts w:eastAsia="等线" w:ascii="Arial" w:cs="Arial" w:hAnsi="Arial"/>
          <w:b w:val="true"/>
          <w:sz w:val="22"/>
        </w:rPr>
        <w:t>公平排序服务 (Fair Sequencing Services, FSS)</w:t>
      </w:r>
    </w:p>
    <w:p>
      <w:pPr>
        <w:spacing w:before="120" w:after="120" w:line="288" w:lineRule="auto"/>
        <w:ind w:left="907"/>
        <w:jc w:val="left"/>
      </w:pPr>
      <w:r>
        <w:rPr>
          <w:rFonts w:eastAsia="等线" w:ascii="Arial" w:cs="Arial" w:hAnsi="Arial"/>
          <w:sz w:val="22"/>
        </w:rPr>
        <w:t>旨在解决 MEV (最大可提取价值) 问题，通过去中心化的方式确保交易的公平排序。</w:t>
      </w:r>
    </w:p>
    <w:p>
      <w:pPr>
        <w:pStyle w:val="2"/>
        <w:spacing w:before="320" w:after="120" w:line="288" w:lineRule="auto"/>
        <w:ind w:left="0"/>
        <w:jc w:val="left"/>
        <w:outlineLvl w:val="1"/>
      </w:pPr>
      <w:bookmarkStart w:name="heading_14" w:id="14"/>
      <w:r>
        <w:rPr>
          <w:rFonts w:eastAsia="等线" w:ascii="Arial" w:cs="Arial" w:hAnsi="Arial"/>
          <w:b w:val="true"/>
          <w:sz w:val="32"/>
        </w:rPr>
        <w:t>应用场景</w:t>
      </w:r>
      <w:bookmarkEnd w:id="14"/>
    </w:p>
    <w:p>
      <w:pPr>
        <w:numPr>
          <w:numId w:val="49"/>
        </w:numPr>
        <w:spacing w:before="120" w:after="120" w:line="288" w:lineRule="auto"/>
        <w:ind w:left="0"/>
        <w:jc w:val="left"/>
      </w:pPr>
      <w:r>
        <w:rPr>
          <w:rFonts w:eastAsia="等线" w:ascii="Arial" w:cs="Arial" w:hAnsi="Arial"/>
          <w:b w:val="true"/>
          <w:sz w:val="22"/>
        </w:rPr>
        <w:t>Defi</w:t>
      </w:r>
    </w:p>
    <w:p>
      <w:pPr>
        <w:spacing w:before="120" w:after="120" w:line="288" w:lineRule="auto"/>
        <w:ind w:left="453"/>
        <w:jc w:val="left"/>
      </w:pPr>
      <w:r>
        <w:rPr>
          <w:rFonts w:eastAsia="等线" w:ascii="Arial" w:cs="Arial" w:hAnsi="Arial"/>
          <w:sz w:val="22"/>
        </w:rPr>
        <w:t>为 Aave、Compound 等提供价格数据，支持借贷和衍生品。</w:t>
      </w:r>
    </w:p>
    <w:p>
      <w:pPr>
        <w:numPr>
          <w:numId w:val="50"/>
        </w:numPr>
        <w:spacing w:before="120" w:after="120" w:line="288" w:lineRule="auto"/>
        <w:ind w:left="0"/>
        <w:jc w:val="left"/>
      </w:pPr>
      <w:r>
        <w:rPr>
          <w:rFonts w:eastAsia="等线" w:ascii="Arial" w:cs="Arial" w:hAnsi="Arial"/>
          <w:b w:val="true"/>
          <w:sz w:val="22"/>
        </w:rPr>
        <w:t>保险</w:t>
      </w:r>
    </w:p>
    <w:p>
      <w:pPr>
        <w:spacing w:before="120" w:after="120" w:line="288" w:lineRule="auto"/>
        <w:ind w:left="453"/>
        <w:jc w:val="left"/>
      </w:pPr>
      <w:r>
        <w:rPr>
          <w:rFonts w:eastAsia="等线" w:ascii="Arial" w:cs="Arial" w:hAnsi="Arial"/>
          <w:sz w:val="22"/>
        </w:rPr>
        <w:t>如 Arbol 的农业保险，利用 Chainlink 获取天气数据。</w:t>
      </w:r>
    </w:p>
    <w:p>
      <w:pPr>
        <w:numPr>
          <w:numId w:val="51"/>
        </w:numPr>
        <w:spacing w:before="120" w:after="120" w:line="288" w:lineRule="auto"/>
        <w:ind w:left="0"/>
        <w:jc w:val="left"/>
      </w:pPr>
      <w:r>
        <w:rPr>
          <w:rFonts w:eastAsia="等线" w:ascii="Arial" w:cs="Arial" w:hAnsi="Arial"/>
          <w:b w:val="true"/>
          <w:sz w:val="22"/>
        </w:rPr>
        <w:t>游戏</w:t>
      </w:r>
    </w:p>
    <w:p>
      <w:pPr>
        <w:spacing w:before="120" w:after="120" w:line="288" w:lineRule="auto"/>
        <w:ind w:left="453"/>
        <w:jc w:val="left"/>
      </w:pPr>
      <w:r>
        <w:rPr>
          <w:rFonts w:eastAsia="等线" w:ascii="Arial" w:cs="Arial" w:hAnsi="Arial"/>
          <w:sz w:val="22"/>
        </w:rPr>
        <w:t>通过 VRF 提供随机性，如 Axie Infinity 的游戏机制。</w:t>
      </w:r>
    </w:p>
    <w:p>
      <w:pPr>
        <w:numPr>
          <w:numId w:val="52"/>
        </w:numPr>
        <w:spacing w:before="120" w:after="120" w:line="288" w:lineRule="auto"/>
        <w:ind w:left="0"/>
        <w:jc w:val="left"/>
      </w:pPr>
      <w:r>
        <w:rPr>
          <w:rFonts w:eastAsia="等线" w:ascii="Arial" w:cs="Arial" w:hAnsi="Arial"/>
          <w:b w:val="true"/>
          <w:sz w:val="22"/>
        </w:rPr>
        <w:t>跨链生态</w:t>
      </w:r>
    </w:p>
    <w:p>
      <w:pPr>
        <w:spacing w:before="120" w:after="120" w:line="288" w:lineRule="auto"/>
        <w:ind w:left="453"/>
        <w:jc w:val="left"/>
      </w:pPr>
      <w:r>
        <w:rPr>
          <w:rFonts w:eastAsia="等线" w:ascii="Arial" w:cs="Arial" w:hAnsi="Arial"/>
          <w:sz w:val="22"/>
        </w:rPr>
        <w:t>通过 CCIP 支持 Polygon、Avalanche 等链的互操作。</w:t>
      </w:r>
    </w:p>
    <w:p>
      <w:pPr>
        <w:pStyle w:val="2"/>
        <w:spacing w:before="320" w:after="120" w:line="288" w:lineRule="auto"/>
        <w:ind w:left="0"/>
        <w:jc w:val="left"/>
        <w:outlineLvl w:val="1"/>
      </w:pPr>
      <w:bookmarkStart w:name="heading_15" w:id="15"/>
      <w:r>
        <w:rPr>
          <w:rFonts w:eastAsia="等线" w:ascii="Arial" w:cs="Arial" w:hAnsi="Arial"/>
          <w:b w:val="true"/>
          <w:sz w:val="32"/>
        </w:rPr>
        <w:t>核心产品</w:t>
      </w:r>
      <w:bookmarkEnd w:id="15"/>
    </w:p>
    <w:p>
      <w:pPr>
        <w:numPr>
          <w:numId w:val="53"/>
        </w:numPr>
        <w:spacing w:before="120" w:after="120" w:line="288" w:lineRule="auto"/>
        <w:ind w:left="0"/>
        <w:jc w:val="left"/>
      </w:pPr>
      <w:r>
        <w:rPr>
          <w:rFonts w:eastAsia="等线" w:ascii="Arial" w:cs="Arial" w:hAnsi="Arial"/>
          <w:sz w:val="22"/>
        </w:rPr>
        <w:t>数据类</w:t>
      </w:r>
    </w:p>
    <w:p>
      <w:pPr>
        <w:numPr>
          <w:numId w:val="54"/>
        </w:numPr>
        <w:spacing w:before="120" w:after="120" w:line="288" w:lineRule="auto"/>
        <w:ind w:left="453"/>
        <w:jc w:val="left"/>
      </w:pPr>
      <w:r>
        <w:rPr>
          <w:rFonts w:eastAsia="等线" w:ascii="Arial" w:cs="Arial" w:hAnsi="Arial"/>
          <w:b w:val="true"/>
          <w:sz w:val="22"/>
        </w:rPr>
        <w:t>Market and Data Feeds</w:t>
      </w:r>
    </w:p>
    <w:p>
      <w:pPr>
        <w:spacing w:before="120" w:after="120" w:line="288" w:lineRule="auto"/>
        <w:ind w:left="907"/>
        <w:jc w:val="left"/>
      </w:pPr>
      <w:hyperlink r:id="rId14">
        <w:r>
          <w:rPr>
            <w:rFonts w:eastAsia="等线" w:ascii="Arial" w:cs="Arial" w:hAnsi="Arial"/>
            <w:color w:val="3370ff"/>
            <w:sz w:val="22"/>
          </w:rPr>
          <w:t>Chainlink Data Feeds</w:t>
        </w:r>
      </w:hyperlink>
      <w:r>
        <w:rPr>
          <w:rFonts w:eastAsia="等线" w:ascii="Arial" w:cs="Arial" w:hAnsi="Arial"/>
          <w:sz w:val="22"/>
        </w:rPr>
        <w:t xml:space="preserve"> 主要包含了三个合约，第一个是 Consumer 合约 ( 用户合约 )，第二个是 Proxy 合约 ( 代理合约 )，第三个就是刚才提到的 </w:t>
      </w:r>
      <w:hyperlink r:id="rId15">
        <w:r>
          <w:rPr>
            <w:rFonts w:eastAsia="等线" w:ascii="Arial" w:cs="Arial" w:hAnsi="Arial"/>
            <w:color w:val="3370ff"/>
            <w:sz w:val="22"/>
          </w:rPr>
          <w:t>Aggregator 合约</w:t>
        </w:r>
      </w:hyperlink>
      <w:r>
        <w:rPr>
          <w:rFonts w:eastAsia="等线" w:ascii="Arial" w:cs="Arial" w:hAnsi="Arial"/>
          <w:sz w:val="22"/>
        </w:rPr>
        <w:t xml:space="preserve"> ( 聚合合约 )。Proxy 合约作为接口连接 Consumer 合约和 Aggregator 合约，屏蔽了 Aggregator 的复杂性，对外向用户提供一个统一的接口（latestRounddata），返回预言机网络最近一次的价格数据。</w:t>
      </w:r>
    </w:p>
    <w:p>
      <w:pPr>
        <w:spacing w:before="120" w:after="120" w:line="288" w:lineRule="auto"/>
        <w:ind w:left="907"/>
        <w:jc w:val="center"/>
      </w:pPr>
      <w:r>
        <w:drawing>
          <wp:inline distT="0" distR="0" distB="0" distL="0">
            <wp:extent cx="5257800" cy="29527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6"/>
                    <a:stretch>
                      <a:fillRect/>
                    </a:stretch>
                  </pic:blipFill>
                  <pic:spPr>
                    <a:xfrm>
                      <a:off x="0" y="0"/>
                      <a:ext cx="5257800" cy="2952750"/>
                    </a:xfrm>
                    <a:prstGeom prst="rect">
                      <a:avLst/>
                    </a:prstGeom>
                  </pic:spPr>
                </pic:pic>
              </a:graphicData>
            </a:graphic>
          </wp:inline>
        </w:drawing>
      </w:r>
    </w:p>
    <w:p>
      <w:pPr>
        <w:numPr>
          <w:numId w:val="55"/>
        </w:numPr>
        <w:spacing w:before="120" w:after="120" w:line="288" w:lineRule="auto"/>
        <w:ind w:left="907"/>
        <w:jc w:val="left"/>
      </w:pPr>
      <w:r>
        <w:rPr>
          <w:rFonts w:eastAsia="等线" w:ascii="Arial" w:cs="Arial" w:hAnsi="Arial"/>
          <w:sz w:val="22"/>
        </w:rPr>
        <w:t>案例场景</w:t>
      </w:r>
    </w:p>
    <w:p>
      <w:pPr>
        <w:spacing w:before="120" w:after="120" w:line="288" w:lineRule="auto"/>
        <w:ind w:left="1360"/>
        <w:jc w:val="left"/>
      </w:pPr>
      <w:r>
        <w:rPr>
          <w:rFonts w:eastAsia="等线" w:ascii="Arial" w:cs="Arial" w:hAnsi="Arial"/>
          <w:sz w:val="22"/>
        </w:rPr>
        <w:t>Data feeds 应用场景非常广泛，很多主流 DeFi 项目都集成了 Data Feeds。</w:t>
      </w:r>
    </w:p>
    <w:p>
      <w:pPr>
        <w:spacing w:before="120" w:after="120" w:line="288" w:lineRule="auto"/>
        <w:ind w:left="1360"/>
        <w:jc w:val="left"/>
      </w:pPr>
      <w:r>
        <w:rPr>
          <w:rFonts w:eastAsia="等线" w:ascii="Arial" w:cs="Arial" w:hAnsi="Arial"/>
          <w:sz w:val="22"/>
        </w:rPr>
        <w:t>最常见的一个应用场景是借贷协议，比如 Ethereum 上的 AAVE，Compound ， BNB 上的 Venus。当用户在 AAVE 上存入一个 BTC 然后贷出来 USD 时， AAVE 需要知道 BTC 和 DAI 的兑换比例，才能决定给用户贷多少 USD。</w:t>
      </w:r>
    </w:p>
    <w:p>
      <w:pPr>
        <w:spacing w:before="120" w:after="120" w:line="288" w:lineRule="auto"/>
        <w:ind w:left="1360"/>
        <w:jc w:val="left"/>
      </w:pPr>
      <w:r>
        <w:rPr>
          <w:rFonts w:eastAsia="等线" w:ascii="Arial" w:cs="Arial" w:hAnsi="Arial"/>
          <w:sz w:val="22"/>
        </w:rPr>
        <w:t>第二个应用场景是合成资产，比如Synthetix（SNX），它可以让用户去交易一些主流资产，比如美股股票。用户合成资产时，协议肯定需要知道资产价格，这个价格就是通过 Data Feeds 获取的。</w:t>
      </w:r>
    </w:p>
    <w:p>
      <w:pPr>
        <w:spacing w:before="120" w:after="120" w:line="288" w:lineRule="auto"/>
        <w:ind w:left="1360"/>
        <w:jc w:val="left"/>
      </w:pPr>
      <w:r>
        <w:rPr>
          <w:rFonts w:eastAsia="等线" w:ascii="Arial" w:cs="Arial" w:hAnsi="Arial"/>
          <w:sz w:val="22"/>
        </w:rPr>
        <w:t>第三个应用场景是抵押型 Stablecoin 。抵押型 Stablecoin 要发行的话，需要抵押相应的资产。Stablecoin 的协议需要通过 Data Feeds 获取资产的价格后，才可以计算得出抵押资产的总价值，根据总价值决定 Stablecoin 的发行数量。</w:t>
      </w:r>
    </w:p>
    <w:p>
      <w:pPr>
        <w:spacing w:before="120" w:after="120" w:line="288" w:lineRule="auto"/>
        <w:ind w:left="1360"/>
        <w:jc w:val="left"/>
      </w:pPr>
      <w:r>
        <w:rPr>
          <w:rFonts w:eastAsia="等线" w:ascii="Arial" w:cs="Arial" w:hAnsi="Arial"/>
          <w:sz w:val="22"/>
        </w:rPr>
        <w:t>第四个是资产管理和衍生品的交易平台。像期权、期货交易平台，它们对价格都很敏感，需要提供稳定、准确的价格数据， Data Feeds 提供的数据完美的满足了它们的业务需求。</w:t>
      </w:r>
    </w:p>
    <w:p>
      <w:pPr>
        <w:spacing w:before="120" w:after="120" w:line="288" w:lineRule="auto"/>
        <w:ind w:left="1360"/>
        <w:jc w:val="center"/>
      </w:pPr>
      <w:r>
        <w:drawing>
          <wp:inline distT="0" distR="0" distB="0" distL="0">
            <wp:extent cx="5257800" cy="15049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7"/>
                    <a:stretch>
                      <a:fillRect/>
                    </a:stretch>
                  </pic:blipFill>
                  <pic:spPr>
                    <a:xfrm>
                      <a:off x="0" y="0"/>
                      <a:ext cx="5257800" cy="1504950"/>
                    </a:xfrm>
                    <a:prstGeom prst="rect">
                      <a:avLst/>
                    </a:prstGeom>
                  </pic:spPr>
                </pic:pic>
              </a:graphicData>
            </a:graphic>
          </wp:inline>
        </w:drawing>
      </w:r>
    </w:p>
    <w:p>
      <w:pPr>
        <w:numPr>
          <w:numId w:val="56"/>
        </w:numPr>
        <w:spacing w:before="120" w:after="120" w:line="288" w:lineRule="auto"/>
        <w:ind w:left="453"/>
        <w:jc w:val="left"/>
      </w:pPr>
      <w:r>
        <w:rPr>
          <w:rFonts w:eastAsia="等线" w:ascii="Arial" w:cs="Arial" w:hAnsi="Arial"/>
          <w:b w:val="true"/>
          <w:sz w:val="22"/>
        </w:rPr>
        <w:t>Data Stream</w:t>
      </w:r>
    </w:p>
    <w:p>
      <w:pPr>
        <w:spacing w:before="120" w:after="120" w:line="288" w:lineRule="auto"/>
        <w:ind w:left="907" w:firstLine="420"/>
        <w:jc w:val="left"/>
      </w:pPr>
      <w:hyperlink r:id="rId18">
        <w:r>
          <w:rPr>
            <w:rFonts w:eastAsia="等线" w:ascii="Arial" w:cs="Arial" w:hAnsi="Arial"/>
            <w:color w:val="3370ff"/>
            <w:sz w:val="22"/>
          </w:rPr>
          <w:t>Chainlink Data Streams</w:t>
        </w:r>
      </w:hyperlink>
      <w:r>
        <w:rPr>
          <w:rFonts w:eastAsia="等线" w:ascii="Arial" w:cs="Arial" w:hAnsi="Arial"/>
          <w:sz w:val="22"/>
        </w:rPr>
        <w:t xml:space="preserve"> 采用拉取式设计，允许您随时检索报告并在链上进行验证。验证过程确认去中心化预言机网络 (DON) 已同意并签署了数据。有些应用只需要固定间隔的链上数据，这很适合推送式预言机。然而，有些应用需要更高频率的更新和更低的延迟。拉取式预言机可以满足这些需求，同时仍然提供数据准确性的加密保证。</w:t>
      </w:r>
    </w:p>
    <w:p>
      <w:pPr>
        <w:spacing w:before="120" w:after="120" w:line="288" w:lineRule="auto"/>
        <w:ind w:left="907"/>
        <w:jc w:val="left"/>
      </w:pPr>
      <w:r>
        <w:rPr>
          <w:rFonts w:eastAsia="等线" w:ascii="Arial" w:cs="Arial" w:hAnsi="Arial"/>
          <w:sz w:val="22"/>
        </w:rPr>
        <w:t xml:space="preserve"> 是 Chainlink 预言机网络提供的一项高级服务，旨在为去中心化金融（DeFi）应用提供</w:t>
      </w:r>
      <w:r>
        <w:rPr>
          <w:rFonts w:eastAsia="等线" w:ascii="Arial" w:cs="Arial" w:hAnsi="Arial"/>
          <w:b w:val="true"/>
          <w:sz w:val="22"/>
        </w:rPr>
        <w:t>低延迟、高吞吐量</w:t>
      </w:r>
      <w:r>
        <w:rPr>
          <w:rFonts w:eastAsia="等线" w:ascii="Arial" w:cs="Arial" w:hAnsi="Arial"/>
          <w:sz w:val="22"/>
        </w:rPr>
        <w:t>的市场数据。它与 Chainlink 传统的“推送式”（Push-based）数据源（Data Feeds）有所不同，采用了**“拉取式”（Pull-based）模型**，更适合需要**亚秒级（sub-second）**数据更新的应用场景，例如永续合约、期权交易和高频交易。</w:t>
      </w:r>
    </w:p>
    <w:p>
      <w:pPr>
        <w:spacing w:before="120" w:after="120" w:line="288" w:lineRule="auto"/>
        <w:ind w:left="907"/>
        <w:jc w:val="left"/>
      </w:pPr>
    </w:p>
    <w:p>
      <w:pPr>
        <w:spacing w:before="120" w:after="120" w:line="288" w:lineRule="auto"/>
        <w:ind w:left="907"/>
        <w:jc w:val="center"/>
      </w:pPr>
      <w:r>
        <w:drawing>
          <wp:inline distT="0" distR="0" distB="0" distL="0">
            <wp:extent cx="5257800" cy="27908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9"/>
                    <a:stretch>
                      <a:fillRect/>
                    </a:stretch>
                  </pic:blipFill>
                  <pic:spPr>
                    <a:xfrm>
                      <a:off x="0" y="0"/>
                      <a:ext cx="5257800" cy="2790825"/>
                    </a:xfrm>
                    <a:prstGeom prst="rect">
                      <a:avLst/>
                    </a:prstGeom>
                  </pic:spPr>
                </pic:pic>
              </a:graphicData>
            </a:graphic>
          </wp:inline>
        </w:drawing>
      </w:r>
    </w:p>
    <w:p>
      <w:pPr>
        <w:spacing w:before="120" w:after="120" w:line="288" w:lineRule="auto"/>
        <w:ind w:left="453" w:firstLine="420"/>
        <w:jc w:val="left"/>
      </w:pPr>
      <w:r>
        <w:rPr>
          <w:rFonts w:eastAsia="等线" w:ascii="Arial" w:cs="Arial" w:hAnsi="Arial"/>
          <w:sz w:val="22"/>
        </w:rPr>
        <w:t>主要功能包括：</w:t>
      </w:r>
    </w:p>
    <w:p>
      <w:pPr>
        <w:numPr>
          <w:numId w:val="57"/>
        </w:numPr>
        <w:spacing w:before="120" w:after="120" w:line="288" w:lineRule="auto"/>
        <w:ind w:left="907"/>
        <w:jc w:val="left"/>
      </w:pPr>
      <w:r>
        <w:rPr>
          <w:rFonts w:eastAsia="等线" w:ascii="Arial" w:cs="Arial" w:hAnsi="Arial"/>
          <w:b w:val="true"/>
          <w:sz w:val="22"/>
        </w:rPr>
        <w:t>链下数据持续可用</w:t>
      </w:r>
    </w:p>
    <w:p>
      <w:pPr>
        <w:numPr>
          <w:numId w:val="58"/>
        </w:numPr>
        <w:spacing w:before="120" w:after="120" w:line="288" w:lineRule="auto"/>
        <w:ind w:left="1360"/>
        <w:jc w:val="left"/>
      </w:pPr>
      <w:r>
        <w:rPr>
          <w:rFonts w:eastAsia="等线" w:ascii="Arial" w:cs="Arial" w:hAnsi="Arial"/>
          <w:sz w:val="22"/>
        </w:rPr>
        <w:t xml:space="preserve">Chainlink DON 节点不断从数据源获取价格，并将其签名后的报告发送到链下的 </w:t>
      </w:r>
      <w:r>
        <w:rPr>
          <w:rFonts w:eastAsia="等线" w:ascii="Arial" w:cs="Arial" w:hAnsi="Arial"/>
          <w:b w:val="true"/>
          <w:sz w:val="22"/>
        </w:rPr>
        <w:t>Data Streams 聚合网络</w:t>
      </w:r>
      <w:r>
        <w:rPr>
          <w:rFonts w:eastAsia="等线" w:ascii="Arial" w:cs="Arial" w:hAnsi="Arial"/>
          <w:sz w:val="22"/>
        </w:rPr>
        <w:t>。</w:t>
      </w:r>
    </w:p>
    <w:p>
      <w:pPr>
        <w:numPr>
          <w:numId w:val="59"/>
        </w:numPr>
        <w:spacing w:before="120" w:after="120" w:line="288" w:lineRule="auto"/>
        <w:ind w:left="1360"/>
        <w:jc w:val="left"/>
      </w:pPr>
      <w:r>
        <w:rPr>
          <w:rFonts w:eastAsia="等线" w:ascii="Arial" w:cs="Arial" w:hAnsi="Arial"/>
          <w:sz w:val="22"/>
        </w:rPr>
        <w:t>这个聚合网络保证数据报告的亚秒级更新和高可用性，并提供 WebSocket 接口供应用监听。</w:t>
      </w:r>
    </w:p>
    <w:p>
      <w:pPr>
        <w:numPr>
          <w:numId w:val="60"/>
        </w:numPr>
        <w:spacing w:before="120" w:after="120" w:line="288" w:lineRule="auto"/>
        <w:ind w:left="907"/>
        <w:jc w:val="left"/>
      </w:pPr>
      <w:r>
        <w:rPr>
          <w:rFonts w:eastAsia="等线" w:ascii="Arial" w:cs="Arial" w:hAnsi="Arial"/>
          <w:b w:val="true"/>
          <w:sz w:val="22"/>
        </w:rPr>
        <w:t>链上智能合约逻辑</w:t>
      </w:r>
    </w:p>
    <w:p>
      <w:pPr>
        <w:numPr>
          <w:numId w:val="61"/>
        </w:numPr>
        <w:spacing w:before="120" w:after="120" w:line="288" w:lineRule="auto"/>
        <w:ind w:left="1360"/>
        <w:jc w:val="left"/>
      </w:pPr>
      <w:r>
        <w:rPr>
          <w:rFonts w:eastAsia="等线" w:ascii="Arial" w:cs="Arial" w:hAnsi="Arial"/>
          <w:sz w:val="22"/>
        </w:rPr>
        <w:t>DeFi 协议（例如永续合约交易所）的智能合约中包含需要实时价格的逻辑（如清算、计算资金费率、执行限价单等）。</w:t>
      </w:r>
    </w:p>
    <w:p>
      <w:pPr>
        <w:numPr>
          <w:numId w:val="62"/>
        </w:numPr>
        <w:spacing w:before="120" w:after="120" w:line="288" w:lineRule="auto"/>
        <w:ind w:left="1360"/>
        <w:jc w:val="left"/>
      </w:pPr>
      <w:r>
        <w:rPr>
          <w:rFonts w:eastAsia="等线" w:ascii="Arial" w:cs="Arial" w:hAnsi="Arial"/>
          <w:sz w:val="22"/>
        </w:rPr>
        <w:t>这些操作通常由外部触发（用户交易、清算机器人、自动化任务）</w:t>
      </w:r>
    </w:p>
    <w:p>
      <w:pPr>
        <w:numPr>
          <w:numId w:val="63"/>
        </w:numPr>
        <w:spacing w:before="120" w:after="120" w:line="288" w:lineRule="auto"/>
        <w:ind w:left="907"/>
        <w:jc w:val="left"/>
      </w:pPr>
      <w:r>
        <w:rPr>
          <w:rFonts w:eastAsia="等线" w:ascii="Arial" w:cs="Arial" w:hAnsi="Arial"/>
          <w:b w:val="true"/>
          <w:sz w:val="22"/>
        </w:rPr>
        <w:t xml:space="preserve">Chainlink Automation (Keepers) </w:t>
      </w:r>
    </w:p>
    <w:p>
      <w:pPr>
        <w:numPr>
          <w:numId w:val="64"/>
        </w:numPr>
        <w:spacing w:before="120" w:after="120" w:line="288" w:lineRule="auto"/>
        <w:ind w:left="1360"/>
        <w:jc w:val="left"/>
      </w:pPr>
      <w:r>
        <w:rPr>
          <w:rFonts w:eastAsia="等线" w:ascii="Arial" w:cs="Arial" w:hAnsi="Arial"/>
          <w:b w:val="true"/>
          <w:sz w:val="22"/>
        </w:rPr>
        <w:t>作为“执行者”</w:t>
      </w:r>
    </w:p>
    <w:p>
      <w:pPr>
        <w:spacing w:before="120" w:after="120" w:line="288" w:lineRule="auto"/>
        <w:ind w:left="1814"/>
        <w:jc w:val="left"/>
      </w:pPr>
      <w:r>
        <w:rPr>
          <w:rFonts w:eastAsia="等线" w:ascii="Arial" w:cs="Arial" w:hAnsi="Arial"/>
          <w:sz w:val="22"/>
        </w:rPr>
        <w:t>智能合约会与 Chainlink Automation 集成。当满足特定条件（例如，需要执行一笔清算、用户提交了一笔交易需要价格）时，自动化机器人会被触发。</w:t>
      </w:r>
    </w:p>
    <w:p>
      <w:pPr>
        <w:numPr>
          <w:numId w:val="65"/>
        </w:numPr>
        <w:spacing w:before="120" w:after="120" w:line="288" w:lineRule="auto"/>
        <w:ind w:left="1360"/>
        <w:jc w:val="left"/>
      </w:pPr>
      <w:r>
        <w:rPr>
          <w:rFonts w:eastAsia="等线" w:ascii="Arial" w:cs="Arial" w:hAnsi="Arial"/>
          <w:b w:val="true"/>
          <w:sz w:val="22"/>
        </w:rPr>
        <w:t>原子化执行</w:t>
      </w:r>
    </w:p>
    <w:p>
      <w:pPr>
        <w:spacing w:before="120" w:after="120" w:line="288" w:lineRule="auto"/>
        <w:ind w:left="1814"/>
        <w:jc w:val="left"/>
      </w:pPr>
      <w:r>
        <w:rPr>
          <w:rFonts w:eastAsia="等线" w:ascii="Arial" w:cs="Arial" w:hAnsi="Arial"/>
          <w:sz w:val="22"/>
        </w:rPr>
        <w:t>这个自动化机器人会执行以下操作：</w:t>
      </w:r>
    </w:p>
    <w:p>
      <w:pPr>
        <w:numPr>
          <w:numId w:val="66"/>
        </w:numPr>
        <w:spacing w:before="120" w:after="120" w:line="288" w:lineRule="auto"/>
        <w:ind w:left="1814"/>
        <w:jc w:val="left"/>
      </w:pPr>
      <w:r>
        <w:rPr>
          <w:rFonts w:eastAsia="等线" w:ascii="Arial" w:cs="Arial" w:hAnsi="Arial"/>
          <w:sz w:val="22"/>
        </w:rPr>
        <w:t>从链下 Data Streams 聚合网络“拉取”最新、由 DON 节点签名的价格报告。</w:t>
      </w:r>
    </w:p>
    <w:p>
      <w:pPr>
        <w:numPr>
          <w:numId w:val="67"/>
        </w:numPr>
        <w:spacing w:before="120" w:after="120" w:line="288" w:lineRule="auto"/>
        <w:ind w:left="1814"/>
        <w:jc w:val="left"/>
      </w:pPr>
      <w:r>
        <w:rPr>
          <w:rFonts w:eastAsia="等线" w:ascii="Arial" w:cs="Arial" w:hAnsi="Arial"/>
          <w:sz w:val="22"/>
        </w:rPr>
        <w:t xml:space="preserve">将这个签名报告作为 </w:t>
      </w:r>
      <w:r>
        <w:rPr>
          <w:rFonts w:eastAsia="Consolas" w:ascii="Consolas" w:cs="Consolas" w:hAnsi="Consolas"/>
          <w:sz w:val="22"/>
          <w:shd w:fill="EFF0F1"/>
        </w:rPr>
        <w:t>calldata</w:t>
      </w:r>
      <w:r>
        <w:rPr>
          <w:rFonts w:eastAsia="等线" w:ascii="Arial" w:cs="Arial" w:hAnsi="Arial"/>
          <w:sz w:val="22"/>
        </w:rPr>
        <w:t xml:space="preserve"> 或交易参数，与需要执行的交易（例如 </w:t>
      </w:r>
      <w:r>
        <w:rPr>
          <w:rFonts w:eastAsia="Consolas" w:ascii="Consolas" w:cs="Consolas" w:hAnsi="Consolas"/>
          <w:sz w:val="22"/>
          <w:shd w:fill="EFF0F1"/>
        </w:rPr>
        <w:t>liquidate()</w:t>
      </w:r>
      <w:r>
        <w:rPr>
          <w:rFonts w:eastAsia="等线" w:ascii="Arial" w:cs="Arial" w:hAnsi="Arial"/>
          <w:sz w:val="22"/>
        </w:rPr>
        <w:t xml:space="preserve"> 函数调用）一起， 在一个单笔原子化交易中提交到链上。</w:t>
      </w:r>
    </w:p>
    <w:p>
      <w:pPr>
        <w:numPr>
          <w:numId w:val="68"/>
        </w:numPr>
        <w:spacing w:before="120" w:after="120" w:line="288" w:lineRule="auto"/>
        <w:ind w:left="907"/>
        <w:jc w:val="left"/>
      </w:pPr>
      <w:r>
        <w:rPr>
          <w:rFonts w:eastAsia="等线" w:ascii="Arial" w:cs="Arial" w:hAnsi="Arial"/>
          <w:b w:val="true"/>
          <w:sz w:val="22"/>
        </w:rPr>
        <w:t>链上验证与执行</w:t>
      </w:r>
    </w:p>
    <w:p>
      <w:pPr>
        <w:numPr>
          <w:numId w:val="69"/>
        </w:numPr>
        <w:spacing w:before="120" w:after="120" w:line="288" w:lineRule="auto"/>
        <w:ind w:left="1360"/>
        <w:jc w:val="left"/>
      </w:pPr>
      <w:r>
        <w:rPr>
          <w:rFonts w:eastAsia="等线" w:ascii="Arial" w:cs="Arial" w:hAnsi="Arial"/>
          <w:sz w:val="22"/>
        </w:rPr>
        <w:t>当这笔交易到达 Layer-1（或 Layer-2 Rollup）时，智能合约首先会调用 Chainlink Data Streams 的</w:t>
      </w:r>
      <w:r>
        <w:rPr>
          <w:rFonts w:eastAsia="等线" w:ascii="Arial" w:cs="Arial" w:hAnsi="Arial"/>
          <w:b w:val="true"/>
          <w:sz w:val="22"/>
        </w:rPr>
        <w:t>链上验证器。</w:t>
      </w:r>
    </w:p>
    <w:p>
      <w:pPr>
        <w:numPr>
          <w:numId w:val="70"/>
        </w:numPr>
        <w:spacing w:before="120" w:after="120" w:line="288" w:lineRule="auto"/>
        <w:ind w:left="1360"/>
        <w:jc w:val="left"/>
      </w:pPr>
      <w:r>
        <w:rPr>
          <w:rFonts w:eastAsia="等线" w:ascii="Arial" w:cs="Arial" w:hAnsi="Arial"/>
          <w:sz w:val="22"/>
        </w:rPr>
        <w:t>验证器会检查提交的签名报告</w:t>
      </w:r>
    </w:p>
    <w:p>
      <w:pPr>
        <w:numPr>
          <w:numId w:val="71"/>
        </w:numPr>
        <w:spacing w:before="120" w:after="120" w:line="288" w:lineRule="auto"/>
        <w:ind w:left="1814"/>
        <w:jc w:val="left"/>
      </w:pPr>
      <w:r>
        <w:rPr>
          <w:rFonts w:eastAsia="等线" w:ascii="Arial" w:cs="Arial" w:hAnsi="Arial"/>
          <w:sz w:val="22"/>
        </w:rPr>
        <w:t>验证这些签名是否有效（由 Chainlink DON 节点正确签名）。</w:t>
      </w:r>
    </w:p>
    <w:p>
      <w:pPr>
        <w:numPr>
          <w:numId w:val="72"/>
        </w:numPr>
        <w:spacing w:before="120" w:after="120" w:line="288" w:lineRule="auto"/>
        <w:ind w:left="1814"/>
        <w:jc w:val="left"/>
      </w:pPr>
      <w:r>
        <w:rPr>
          <w:rFonts w:eastAsia="等线" w:ascii="Arial" w:cs="Arial" w:hAnsi="Arial"/>
          <w:sz w:val="22"/>
        </w:rPr>
        <w:t>验证报告是否是最新的（在合理的时间窗口内）。</w:t>
      </w:r>
    </w:p>
    <w:p>
      <w:pPr>
        <w:numPr>
          <w:numId w:val="73"/>
        </w:numPr>
        <w:spacing w:before="120" w:after="120" w:line="288" w:lineRule="auto"/>
        <w:ind w:left="1814"/>
        <w:jc w:val="left"/>
      </w:pPr>
      <w:r>
        <w:rPr>
          <w:rFonts w:eastAsia="等线" w:ascii="Arial" w:cs="Arial" w:hAnsi="Arial"/>
          <w:sz w:val="22"/>
        </w:rPr>
        <w:t>验证报告中的数据是否与共识值一致（通常要求多数节点签名）</w:t>
      </w:r>
    </w:p>
    <w:p>
      <w:pPr>
        <w:numPr>
          <w:numId w:val="74"/>
        </w:numPr>
        <w:spacing w:before="120" w:after="120" w:line="288" w:lineRule="auto"/>
        <w:ind w:left="1360"/>
        <w:jc w:val="left"/>
      </w:pPr>
      <w:r>
        <w:rPr>
          <w:rFonts w:eastAsia="等线" w:ascii="Arial" w:cs="Arial" w:hAnsi="Arial"/>
          <w:sz w:val="22"/>
        </w:rPr>
        <w:t>只有当签名报告通过验证后，智能合约才会使用报告中的价格数据来执行其核心业务逻辑（如清算）</w:t>
      </w:r>
    </w:p>
    <w:tbl>
      <w:tblPr>
        <w:tblW w:w="0" w:type="auto"/>
        <w:tblInd w:w="1360" w:type="dxa"/>
        <w:tblBorders>
          <w:top w:val="single" w:color="dee0e3"/>
          <w:left w:val="single" w:color="dee0e3"/>
          <w:bottom w:val="single" w:color="dee0e3"/>
          <w:right w:val="single" w:color="dee0e3"/>
          <w:insideH w:val="single" w:color="dee0e3"/>
          <w:insideV w:val="single" w:color="dee0e3"/>
        </w:tblBorders>
        <w:tblLayout w:type="fixed"/>
      </w:tblPr>
      <w:tblGrid>
        <w:gridCol w:w="870"/>
        <w:gridCol w:w="3150"/>
        <w:gridCol w:w="2895"/>
      </w:tblGrid>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特性</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传统 Chainlink Data Feeds（推送式）</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Chainlink Data Streams（拉取式）</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数据上链方式</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DON 节点主动将价格更新推送（写入）到链上</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签名数据在链下持续更新。仅在需要时，由 Automation 或用户将签名报告作为交易的一部分拉到链上并验证</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链上价格更新</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持续发生（例如，每小时，或价格波动超过 0.5%）</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不发生持续的价格更新。链上价格数据仅在交易发生时被验证和使用</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延迟</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通常为几秒到几十秒（取决于更新频率和链确认时间）</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亚秒级链下延迟，链上延迟仅为单次交易的确认时间</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Gas 成本</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节点推送数据到链上需要支付 Gas 费</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主要 Gas 成本发生在使用数据进行交易时，显著降低非必要的 Gas 消耗</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MEV 风险</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数据在链上更新时可能存在 MEV 风险（如抢跑清算）</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通过原子化执行和提交-揭示模型，有效缓解 MEV 风险</w:t>
            </w:r>
          </w:p>
        </w:tc>
      </w:tr>
      <w:tr>
        <w:tc>
          <w:tcPr>
            <w:tcW w:w="1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适用场景</w:t>
            </w:r>
          </w:p>
        </w:tc>
        <w:tc>
          <w:tcPr>
            <w:tcW w:w="37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借贷协议、稳定币抵押、资产定价等对实时性要求不那么极致的场景</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永续合约、期权、高频交易、动态清算等对延迟极度敏感的场景</w:t>
            </w:r>
          </w:p>
        </w:tc>
      </w:tr>
    </w:tbl>
    <w:p>
      <w:pPr>
        <w:numPr>
          <w:numId w:val="75"/>
        </w:numPr>
        <w:spacing w:before="120" w:after="120" w:line="288" w:lineRule="auto"/>
        <w:ind w:left="453"/>
        <w:jc w:val="left"/>
      </w:pPr>
      <w:r>
        <w:rPr>
          <w:rFonts w:eastAsia="等线" w:ascii="Arial" w:cs="Arial" w:hAnsi="Arial"/>
          <w:b w:val="true"/>
          <w:sz w:val="22"/>
        </w:rPr>
        <w:t>POR（Proof of Reserve）</w:t>
      </w:r>
    </w:p>
    <w:p>
      <w:pPr>
        <w:spacing w:before="120" w:after="120" w:line="288" w:lineRule="auto"/>
        <w:ind w:left="907"/>
        <w:jc w:val="left"/>
      </w:pPr>
      <w:r>
        <w:rPr>
          <w:rFonts w:eastAsia="等线" w:ascii="Arial" w:cs="Arial" w:hAnsi="Arial"/>
          <w:sz w:val="22"/>
        </w:rPr>
        <w:t>Chainlink Proof of Reserve（PoR）是 Chainlink 去中心化预言机网络的一项服务，旨在为区块链上的资产提供透明、实时的储备验证，确保链上代币（如稳定币、包装代币、代币化现实世界资产等）与链下或跨链储备资产的1:1锚定。</w:t>
      </w:r>
    </w:p>
    <w:p>
      <w:pPr>
        <w:numPr>
          <w:numId w:val="76"/>
        </w:numPr>
        <w:spacing w:before="120" w:after="120" w:line="288" w:lineRule="auto"/>
        <w:ind w:left="453"/>
        <w:jc w:val="left"/>
      </w:pPr>
      <w:r>
        <w:rPr>
          <w:rFonts w:eastAsia="等线" w:ascii="Arial" w:cs="Arial" w:hAnsi="Arial"/>
          <w:b w:val="true"/>
          <w:sz w:val="22"/>
        </w:rPr>
        <w:t>CCIP</w:t>
      </w:r>
    </w:p>
    <w:p>
      <w:pPr>
        <w:spacing w:before="120" w:after="120" w:line="288" w:lineRule="auto"/>
        <w:ind w:left="907"/>
        <w:jc w:val="left"/>
      </w:pPr>
      <w:r>
        <w:rPr>
          <w:rFonts w:eastAsia="等线" w:ascii="Arial" w:cs="Arial" w:hAnsi="Arial"/>
          <w:sz w:val="22"/>
        </w:rPr>
        <w:t>这是 Chainlink 2.0 愿景中的核心组件之一，旨在提供安全、可靠且去中心化的跨链消息传递和价值转移服务。它允许任何区块链上的应用与任何其他区块链上的应用进行通信和资产转移。</w:t>
      </w:r>
    </w:p>
    <w:p>
      <w:pPr>
        <w:numPr>
          <w:numId w:val="77"/>
        </w:numPr>
        <w:spacing w:before="120" w:after="120" w:line="288" w:lineRule="auto"/>
        <w:ind w:left="907"/>
        <w:jc w:val="left"/>
      </w:pPr>
      <w:r>
        <w:rPr>
          <w:rFonts w:eastAsia="等线" w:ascii="Arial" w:cs="Arial" w:hAnsi="Arial"/>
          <w:sz w:val="22"/>
        </w:rPr>
        <w:t>任意消息</w:t>
      </w:r>
    </w:p>
    <w:p>
      <w:pPr>
        <w:spacing w:before="120" w:after="120" w:line="288" w:lineRule="auto"/>
        <w:ind w:left="1360"/>
        <w:jc w:val="left"/>
      </w:pPr>
      <w:r>
        <w:rPr>
          <w:rFonts w:eastAsia="等线" w:ascii="Arial" w:cs="Arial" w:hAnsi="Arial"/>
          <w:sz w:val="22"/>
        </w:rPr>
        <w:t>能够将任意数据（编码为字节）发送到不同区块链上的接收智能合约。开发人员可以自由地对想要发送的任何数据进行编码。</w:t>
      </w:r>
    </w:p>
    <w:p>
      <w:pPr>
        <w:spacing w:before="120" w:after="120" w:line="288" w:lineRule="auto"/>
        <w:ind w:left="1360"/>
        <w:jc w:val="left"/>
      </w:pPr>
      <w:r>
        <w:rPr>
          <w:rFonts w:eastAsia="等线" w:ascii="Arial" w:cs="Arial" w:hAnsi="Arial"/>
          <w:sz w:val="22"/>
        </w:rPr>
        <w:t>通常，开发者使用任意消息来触发接收智能合约的合理操作，例如重新平衡指数、铸造特定的 NFT，或使用发送的数据作为自定义参数调用任意函数。开发者可以在一条消息中编码多条指令，从而能够协调复杂、多步骤、多链的任务。</w:t>
      </w:r>
    </w:p>
    <w:p>
      <w:pPr>
        <w:numPr>
          <w:numId w:val="78"/>
        </w:numPr>
        <w:spacing w:before="120" w:after="120" w:line="288" w:lineRule="auto"/>
        <w:ind w:left="907"/>
        <w:jc w:val="left"/>
      </w:pPr>
      <w:r>
        <w:rPr>
          <w:rFonts w:eastAsia="等线" w:ascii="Arial" w:cs="Arial" w:hAnsi="Arial"/>
          <w:sz w:val="22"/>
        </w:rPr>
        <w:t>代币转移</w:t>
      </w:r>
    </w:p>
    <w:p>
      <w:pPr>
        <w:spacing w:before="120" w:after="120" w:line="288" w:lineRule="auto"/>
        <w:ind w:left="1360"/>
        <w:jc w:val="left"/>
      </w:pPr>
      <w:r>
        <w:rPr>
          <w:rFonts w:eastAsia="等线" w:ascii="Arial" w:cs="Arial" w:hAnsi="Arial"/>
          <w:sz w:val="22"/>
        </w:rPr>
        <w:t>将代币转移到不同区块链账户的能力。此功能可实现跨链资产的无缝转移。</w:t>
      </w:r>
    </w:p>
    <w:p>
      <w:pPr>
        <w:numPr>
          <w:numId w:val="79"/>
        </w:numPr>
        <w:spacing w:before="120" w:after="120" w:line="288" w:lineRule="auto"/>
        <w:ind w:left="907"/>
        <w:jc w:val="left"/>
      </w:pPr>
      <w:r>
        <w:rPr>
          <w:rFonts w:eastAsia="等线" w:ascii="Arial" w:cs="Arial" w:hAnsi="Arial"/>
          <w:sz w:val="22"/>
        </w:rPr>
        <w:t>可编程代币转移</w:t>
      </w:r>
    </w:p>
    <w:p>
      <w:pPr>
        <w:spacing w:before="120" w:after="120" w:line="288" w:lineRule="auto"/>
        <w:ind w:left="1360"/>
        <w:jc w:val="left"/>
      </w:pPr>
      <w:r>
        <w:rPr>
          <w:rFonts w:eastAsia="等线" w:ascii="Arial" w:cs="Arial" w:hAnsi="Arial"/>
          <w:sz w:val="22"/>
        </w:rPr>
        <w:t>能够在单笔交易中同时传输代币和任意数据（以字节为单位）。此机制允许用户传输代币并发送如何处理这些代币的指令。例如，用户可以将代币转移到借贷协议，并按照指令利用这些代币作为贷款的抵押品，借入另一项资产并将其返还给用户。</w:t>
      </w:r>
    </w:p>
    <w:p>
      <w:pPr>
        <w:spacing w:before="120" w:after="120" w:line="288" w:lineRule="auto"/>
        <w:ind w:left="907"/>
        <w:jc w:val="center"/>
      </w:pPr>
      <w:r>
        <w:drawing>
          <wp:inline distT="0" distR="0" distB="0" distL="0">
            <wp:extent cx="5257800" cy="29527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0"/>
                    <a:stretch>
                      <a:fillRect/>
                    </a:stretch>
                  </pic:blipFill>
                  <pic:spPr>
                    <a:xfrm>
                      <a:off x="0" y="0"/>
                      <a:ext cx="5257800" cy="2952750"/>
                    </a:xfrm>
                    <a:prstGeom prst="rect">
                      <a:avLst/>
                    </a:prstGeom>
                  </pic:spPr>
                </pic:pic>
              </a:graphicData>
            </a:graphic>
          </wp:inline>
        </w:drawing>
      </w:r>
    </w:p>
    <w:p>
      <w:pPr>
        <w:numPr>
          <w:numId w:val="80"/>
        </w:numPr>
        <w:spacing w:before="120" w:after="120" w:line="288" w:lineRule="auto"/>
        <w:ind w:left="0"/>
        <w:jc w:val="left"/>
      </w:pPr>
      <w:r>
        <w:rPr>
          <w:rFonts w:eastAsia="等线" w:ascii="Arial" w:cs="Arial" w:hAnsi="Arial"/>
          <w:sz w:val="22"/>
        </w:rPr>
        <w:t>计算类</w:t>
      </w:r>
    </w:p>
    <w:p>
      <w:pPr>
        <w:numPr>
          <w:numId w:val="81"/>
        </w:numPr>
        <w:spacing w:before="120" w:after="120" w:line="288" w:lineRule="auto"/>
        <w:ind w:left="453"/>
        <w:jc w:val="left"/>
      </w:pPr>
      <w:r>
        <w:rPr>
          <w:rFonts w:eastAsia="等线" w:ascii="Arial" w:cs="Arial" w:hAnsi="Arial"/>
          <w:b w:val="true"/>
          <w:sz w:val="22"/>
        </w:rPr>
        <w:t>Function</w:t>
      </w:r>
    </w:p>
    <w:p>
      <w:pPr>
        <w:spacing w:before="120" w:after="120" w:line="288" w:lineRule="auto"/>
        <w:ind w:left="907"/>
        <w:jc w:val="left"/>
      </w:pPr>
      <w:r>
        <w:rPr>
          <w:rFonts w:eastAsia="等线" w:ascii="Arial" w:cs="Arial" w:hAnsi="Arial"/>
          <w:sz w:val="22"/>
        </w:rPr>
        <w:t xml:space="preserve">支持开发者调用任意链下 API，扩展了数据源范围（如 Google Maps、航班状态）。  </w:t>
      </w:r>
    </w:p>
    <w:p>
      <w:pPr>
        <w:numPr>
          <w:numId w:val="82"/>
        </w:numPr>
        <w:spacing w:before="120" w:after="120" w:line="288" w:lineRule="auto"/>
        <w:ind w:left="453"/>
        <w:jc w:val="left"/>
      </w:pPr>
      <w:r>
        <w:rPr>
          <w:rFonts w:eastAsia="等线" w:ascii="Arial" w:cs="Arial" w:hAnsi="Arial"/>
          <w:b w:val="true"/>
          <w:sz w:val="22"/>
        </w:rPr>
        <w:t>Automation</w:t>
      </w:r>
    </w:p>
    <w:p>
      <w:pPr>
        <w:spacing w:before="120" w:after="120" w:line="288" w:lineRule="auto"/>
        <w:ind w:left="907"/>
        <w:jc w:val="left"/>
      </w:pPr>
      <w:r>
        <w:rPr>
          <w:rFonts w:eastAsia="等线" w:ascii="Arial" w:cs="Arial" w:hAnsi="Arial"/>
          <w:sz w:val="22"/>
        </w:rPr>
        <w:t xml:space="preserve">从轮询模型升级为共识机制，增强了自动化任务的可靠性和安全性，降低了链上计算成本。  </w:t>
      </w:r>
    </w:p>
    <w:p>
      <w:pPr>
        <w:numPr>
          <w:numId w:val="83"/>
        </w:numPr>
        <w:spacing w:before="120" w:after="120" w:line="288" w:lineRule="auto"/>
        <w:ind w:left="453"/>
        <w:jc w:val="left"/>
      </w:pPr>
      <w:r>
        <w:rPr>
          <w:rFonts w:eastAsia="等线" w:ascii="Arial" w:cs="Arial" w:hAnsi="Arial"/>
          <w:b w:val="true"/>
          <w:sz w:val="22"/>
        </w:rPr>
        <w:t>Vrf</w:t>
      </w:r>
    </w:p>
    <w:p>
      <w:pPr>
        <w:spacing w:before="120" w:after="120" w:line="288" w:lineRule="auto"/>
        <w:ind w:left="907"/>
        <w:jc w:val="left"/>
      </w:pPr>
      <w:r>
        <w:rPr>
          <w:rFonts w:eastAsia="等线" w:ascii="Arial" w:cs="Arial" w:hAnsi="Arial"/>
          <w:sz w:val="22"/>
        </w:rPr>
        <w:t>为游戏、NFT 等提供安全的链下随机数生成。</w:t>
      </w:r>
    </w:p>
    <w:p>
      <w:pPr>
        <w:numPr>
          <w:numId w:val="84"/>
        </w:numPr>
        <w:spacing w:before="120" w:after="120" w:line="288" w:lineRule="auto"/>
        <w:ind w:left="453"/>
        <w:jc w:val="left"/>
      </w:pPr>
      <w:r>
        <w:rPr>
          <w:rFonts w:eastAsia="等线" w:ascii="Arial" w:cs="Arial" w:hAnsi="Arial"/>
          <w:b w:val="true"/>
          <w:sz w:val="22"/>
        </w:rPr>
        <w:t>FSS</w:t>
      </w:r>
    </w:p>
    <w:p>
      <w:pPr>
        <w:spacing w:before="120" w:after="120" w:line="288" w:lineRule="auto"/>
        <w:ind w:left="907"/>
        <w:jc w:val="left"/>
      </w:pPr>
      <w:r>
        <w:rPr>
          <w:rFonts w:eastAsia="等线" w:ascii="Arial" w:cs="Arial" w:hAnsi="Arial"/>
          <w:sz w:val="22"/>
        </w:rPr>
        <w:t>解决MEV问题</w:t>
      </w:r>
    </w:p>
    <w:p>
      <w:pPr>
        <w:pStyle w:val="2"/>
        <w:spacing w:before="320" w:after="120" w:line="288" w:lineRule="auto"/>
        <w:ind w:left="0"/>
        <w:jc w:val="left"/>
        <w:outlineLvl w:val="1"/>
      </w:pPr>
      <w:bookmarkStart w:name="heading_16" w:id="16"/>
      <w:r>
        <w:rPr>
          <w:rFonts w:eastAsia="等线" w:ascii="Arial" w:cs="Arial" w:hAnsi="Arial"/>
          <w:b w:val="true"/>
          <w:sz w:val="32"/>
        </w:rPr>
        <w:t>网络结构</w:t>
      </w:r>
      <w:bookmarkEnd w:id="16"/>
    </w:p>
    <w:p>
      <w:pPr>
        <w:spacing w:before="120" w:after="120" w:line="288" w:lineRule="auto"/>
        <w:ind w:left="0"/>
        <w:jc w:val="center"/>
      </w:pPr>
      <w:r>
        <w:drawing>
          <wp:inline distT="0" distR="0" distB="0" distL="0">
            <wp:extent cx="5257800" cy="1743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1"/>
                    <a:stretch>
                      <a:fillRect/>
                    </a:stretch>
                  </pic:blipFill>
                  <pic:spPr>
                    <a:xfrm>
                      <a:off x="0" y="0"/>
                      <a:ext cx="5257800" cy="1743075"/>
                    </a:xfrm>
                    <a:prstGeom prst="rect">
                      <a:avLst/>
                    </a:prstGeom>
                  </pic:spPr>
                </pic:pic>
              </a:graphicData>
            </a:graphic>
          </wp:inline>
        </w:drawing>
      </w:r>
    </w:p>
    <w:p>
      <w:pPr>
        <w:pStyle w:val="3"/>
        <w:spacing w:before="300" w:after="120" w:line="288" w:lineRule="auto"/>
        <w:ind w:left="0"/>
        <w:jc w:val="left"/>
        <w:outlineLvl w:val="2"/>
      </w:pPr>
      <w:bookmarkStart w:name="heading_17" w:id="17"/>
      <w:r>
        <w:rPr>
          <w:rFonts w:eastAsia="等线" w:ascii="Arial" w:cs="Arial" w:hAnsi="Arial"/>
          <w:b w:val="true"/>
          <w:sz w:val="30"/>
        </w:rPr>
        <w:t>Chainlink网络</w:t>
      </w:r>
      <w:bookmarkEnd w:id="17"/>
    </w:p>
    <w:p>
      <w:pPr>
        <w:spacing w:before="120" w:after="120" w:line="288" w:lineRule="auto"/>
        <w:ind w:left="0"/>
        <w:jc w:val="left"/>
      </w:pPr>
      <w:r>
        <w:rPr>
          <w:rFonts w:eastAsia="等线" w:ascii="Arial" w:cs="Arial" w:hAnsi="Arial"/>
          <w:sz w:val="22"/>
        </w:rPr>
        <w:t>Chainlink 是构建在现有区块链之上的。这意味着 Chainlink 本身依赖于其所运行的</w:t>
      </w:r>
      <w:r>
        <w:rPr>
          <w:rFonts w:eastAsia="等线" w:ascii="Arial" w:cs="Arial" w:hAnsi="Arial"/>
          <w:b w:val="true"/>
          <w:sz w:val="22"/>
        </w:rPr>
        <w:t>底层区块链的共识机制</w:t>
      </w:r>
      <w:r>
        <w:rPr>
          <w:rFonts w:eastAsia="等线" w:ascii="Arial" w:cs="Arial" w:hAnsi="Arial"/>
          <w:sz w:val="22"/>
        </w:rPr>
        <w:t>来保证其链上操作（如智能合约的执行、数据提交的最终性、交易的防篡改性）的安全性。例如，如果 Chainlink 运行在以太坊上，它就受益于以太坊的 PoS 共识。</w:t>
      </w:r>
    </w:p>
    <w:p>
      <w:pPr>
        <w:spacing w:before="120" w:after="120" w:line="288" w:lineRule="auto"/>
        <w:ind w:left="0"/>
        <w:jc w:val="center"/>
      </w:pPr>
      <w:r>
        <w:drawing>
          <wp:inline distT="0" distR="0" distB="0" distL="0">
            <wp:extent cx="5257800" cy="34671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2"/>
                    <a:stretch>
                      <a:fillRect/>
                    </a:stretch>
                  </pic:blipFill>
                  <pic:spPr>
                    <a:xfrm>
                      <a:off x="0" y="0"/>
                      <a:ext cx="5257800" cy="3467100"/>
                    </a:xfrm>
                    <a:prstGeom prst="rect">
                      <a:avLst/>
                    </a:prstGeom>
                  </pic:spPr>
                </pic:pic>
              </a:graphicData>
            </a:graphic>
          </wp:inline>
        </w:drawing>
      </w:r>
    </w:p>
    <w:p>
      <w:pPr>
        <w:pStyle w:val="3"/>
        <w:spacing w:before="300" w:after="120" w:line="288" w:lineRule="auto"/>
        <w:ind w:left="0"/>
        <w:jc w:val="left"/>
        <w:outlineLvl w:val="2"/>
      </w:pPr>
      <w:bookmarkStart w:name="heading_18" w:id="18"/>
      <w:r>
        <w:rPr>
          <w:rFonts w:eastAsia="等线" w:ascii="Arial" w:cs="Arial" w:hAnsi="Arial"/>
          <w:b w:val="true"/>
          <w:sz w:val="30"/>
        </w:rPr>
        <w:t>链上层</w:t>
      </w:r>
      <w:bookmarkEnd w:id="18"/>
    </w:p>
    <w:p>
      <w:pPr>
        <w:spacing w:before="120" w:after="120" w:line="288" w:lineRule="auto"/>
        <w:ind w:left="0"/>
        <w:jc w:val="left"/>
      </w:pPr>
      <w:r>
        <w:rPr>
          <w:rFonts w:eastAsia="等线" w:ascii="Arial" w:cs="Arial" w:hAnsi="Arial"/>
          <w:sz w:val="22"/>
        </w:rPr>
        <w:t>链上组件是部署在区块链（如以太坊、Solana 等）上的智能合约，负责与链下组件交互、处理用户请求和存储结果。</w:t>
      </w:r>
    </w:p>
    <w:p>
      <w:pPr>
        <w:numPr>
          <w:numId w:val="85"/>
        </w:numPr>
        <w:spacing w:before="120" w:after="120" w:line="288" w:lineRule="auto"/>
        <w:ind w:left="0"/>
        <w:jc w:val="left"/>
      </w:pPr>
      <w:r>
        <w:rPr>
          <w:rFonts w:eastAsia="等线" w:ascii="Arial" w:cs="Arial" w:hAnsi="Arial"/>
          <w:b w:val="true"/>
          <w:sz w:val="22"/>
        </w:rPr>
        <w:t>请求合约 / 消费者合约 (Requesting/Consumer Contracts)</w:t>
      </w:r>
    </w:p>
    <w:p>
      <w:pPr>
        <w:spacing w:before="120" w:after="120" w:line="288" w:lineRule="auto"/>
        <w:ind w:left="453"/>
        <w:jc w:val="left"/>
      </w:pPr>
      <w:r>
        <w:rPr>
          <w:rFonts w:eastAsia="等线" w:ascii="Arial" w:cs="Arial" w:hAnsi="Arial"/>
          <w:sz w:val="22"/>
        </w:rPr>
        <w:t>这是由 DApp 开发者编写并部署在区块链上的智能合约。当它们需要链下数据或触发链下计算时，它们会向 Chainlink 的链上合约发起请求。</w:t>
      </w:r>
    </w:p>
    <w:p>
      <w:pPr>
        <w:numPr>
          <w:numId w:val="86"/>
        </w:numPr>
        <w:spacing w:before="120" w:after="120" w:line="288" w:lineRule="auto"/>
        <w:ind w:left="0"/>
        <w:jc w:val="left"/>
      </w:pPr>
      <w:r>
        <w:rPr>
          <w:rFonts w:eastAsia="等线" w:ascii="Arial" w:cs="Arial" w:hAnsi="Arial"/>
          <w:b w:val="true"/>
          <w:sz w:val="22"/>
        </w:rPr>
        <w:t>Chainlink 协调器 / 路由合约 (Coordinator/Router Contracts)</w:t>
      </w:r>
    </w:p>
    <w:p>
      <w:pPr>
        <w:spacing w:before="120" w:after="120" w:line="288" w:lineRule="auto"/>
        <w:ind w:left="453"/>
        <w:jc w:val="left"/>
      </w:pPr>
      <w:r>
        <w:rPr>
          <w:rFonts w:eastAsia="等线" w:ascii="Arial" w:cs="Arial" w:hAnsi="Arial"/>
          <w:sz w:val="22"/>
        </w:rPr>
        <w:t>这些是 Chainlink 官方部署在各条区块链上的核心智能合约。它们充当请求合约的网关，接收请求，管理订阅，并将请求路由到链下的 Chainlink 去中心化预言机网络 (DONs)。对于 CCIP 这样的服务，还有专门的路由合约负责跨链消息的传递。</w:t>
      </w:r>
    </w:p>
    <w:p>
      <w:pPr>
        <w:numPr>
          <w:numId w:val="87"/>
        </w:numPr>
        <w:spacing w:before="120" w:after="120" w:line="288" w:lineRule="auto"/>
        <w:ind w:left="0"/>
        <w:jc w:val="left"/>
      </w:pPr>
      <w:r>
        <w:rPr>
          <w:rFonts w:eastAsia="等线" w:ascii="Arial" w:cs="Arial" w:hAnsi="Arial"/>
          <w:b w:val="true"/>
          <w:sz w:val="22"/>
        </w:rPr>
        <w:t>聚合器合约 (Aggregator Contracts)</w:t>
      </w:r>
    </w:p>
    <w:p>
      <w:pPr>
        <w:spacing w:before="120" w:after="120" w:line="288" w:lineRule="auto"/>
        <w:ind w:left="453"/>
        <w:jc w:val="left"/>
      </w:pPr>
      <w:r>
        <w:rPr>
          <w:rFonts w:eastAsia="等线" w:ascii="Arial" w:cs="Arial" w:hAnsi="Arial"/>
          <w:sz w:val="22"/>
        </w:rPr>
        <w:t>主要用于 Chainlink Data Feeds。当多个 Chainlink 节点提交数据时，聚合器合约负责收集这些数据，并根据预设的算法（如中位数）进行聚合，生成一个被大多数节点认可的单一、权威的链上数据点。</w:t>
      </w:r>
    </w:p>
    <w:p>
      <w:pPr>
        <w:numPr>
          <w:numId w:val="88"/>
        </w:numPr>
        <w:spacing w:before="120" w:after="120" w:line="288" w:lineRule="auto"/>
        <w:ind w:left="0"/>
        <w:jc w:val="left"/>
      </w:pPr>
      <w:r>
        <w:rPr>
          <w:rFonts w:eastAsia="等线" w:ascii="Arial" w:cs="Arial" w:hAnsi="Arial"/>
          <w:b w:val="true"/>
          <w:sz w:val="22"/>
        </w:rPr>
        <w:t>声誉合约 (Reputation Contracts)</w:t>
      </w:r>
    </w:p>
    <w:p>
      <w:pPr>
        <w:spacing w:before="120" w:after="120" w:line="288" w:lineRule="auto"/>
        <w:ind w:left="453"/>
        <w:jc w:val="left"/>
      </w:pPr>
      <w:r>
        <w:rPr>
          <w:rFonts w:eastAsia="等线" w:ascii="Arial" w:cs="Arial" w:hAnsi="Arial"/>
          <w:sz w:val="22"/>
        </w:rPr>
        <w:t>跟踪和记录 Chainlink 节点运营商的历史性能、响应时间、数据准确性等指标。这些信息可以帮助请求合约选择表现良好的节点。</w:t>
      </w:r>
    </w:p>
    <w:p>
      <w:pPr>
        <w:numPr>
          <w:numId w:val="89"/>
        </w:numPr>
        <w:spacing w:before="120" w:after="120" w:line="288" w:lineRule="auto"/>
        <w:ind w:left="0"/>
        <w:jc w:val="left"/>
      </w:pPr>
      <w:r>
        <w:rPr>
          <w:rFonts w:eastAsia="等线" w:ascii="Arial" w:cs="Arial" w:hAnsi="Arial"/>
          <w:b w:val="true"/>
          <w:sz w:val="22"/>
        </w:rPr>
        <w:t>质押合约 (Staking Contracts)</w:t>
      </w:r>
    </w:p>
    <w:p>
      <w:pPr>
        <w:spacing w:before="120" w:after="120" w:line="288" w:lineRule="auto"/>
        <w:ind w:left="453"/>
        <w:jc w:val="left"/>
      </w:pPr>
      <w:r>
        <w:rPr>
          <w:rFonts w:eastAsia="等线" w:ascii="Arial" w:cs="Arial" w:hAnsi="Arial"/>
          <w:sz w:val="22"/>
        </w:rPr>
        <w:t>负责管理节点运营商质押的 LINK 代币。这些质押是节点服务可靠性的经济担保，如果节点行为不当，其质押可能会被罚没。</w:t>
      </w:r>
    </w:p>
    <w:p>
      <w:pPr>
        <w:numPr>
          <w:numId w:val="90"/>
        </w:numPr>
        <w:spacing w:before="120" w:after="120" w:line="288" w:lineRule="auto"/>
        <w:ind w:left="0"/>
        <w:jc w:val="left"/>
      </w:pPr>
      <w:r>
        <w:rPr>
          <w:rFonts w:eastAsia="等线" w:ascii="Arial" w:cs="Arial" w:hAnsi="Arial"/>
          <w:b w:val="true"/>
          <w:sz w:val="22"/>
        </w:rPr>
        <w:t>跨链互操作协议（CCIP Contracts）</w:t>
      </w:r>
      <w:r>
        <w:rPr>
          <w:rFonts w:eastAsia="等线" w:ascii="Arial" w:cs="Arial" w:hAnsi="Arial"/>
          <w:sz w:val="22"/>
        </w:rPr>
        <w:br/>
      </w:r>
      <w:r>
        <w:rPr>
          <w:rFonts w:eastAsia="等线" w:ascii="Arial" w:cs="Arial" w:hAnsi="Arial"/>
          <w:sz w:val="22"/>
        </w:rPr>
        <w:t>支持跨链通信，允许不同区块链之间传输数据和资产。</w:t>
      </w:r>
    </w:p>
    <w:p>
      <w:pPr>
        <w:pStyle w:val="3"/>
        <w:spacing w:before="300" w:after="120" w:line="288" w:lineRule="auto"/>
        <w:ind w:left="0"/>
        <w:jc w:val="left"/>
        <w:outlineLvl w:val="2"/>
      </w:pPr>
      <w:bookmarkStart w:name="heading_19" w:id="19"/>
      <w:r>
        <w:rPr>
          <w:rFonts w:eastAsia="等线" w:ascii="Arial" w:cs="Arial" w:hAnsi="Arial"/>
          <w:b w:val="true"/>
          <w:sz w:val="30"/>
        </w:rPr>
        <w:t>链下层</w:t>
      </w:r>
      <w:bookmarkEnd w:id="19"/>
    </w:p>
    <w:p>
      <w:pPr>
        <w:numPr>
          <w:numId w:val="91"/>
        </w:numPr>
        <w:spacing w:before="120" w:after="120" w:line="288" w:lineRule="auto"/>
        <w:ind w:left="0"/>
        <w:jc w:val="left"/>
      </w:pPr>
      <w:r>
        <w:rPr>
          <w:rFonts w:eastAsia="等线" w:ascii="Arial" w:cs="Arial" w:hAnsi="Arial"/>
          <w:b w:val="true"/>
          <w:sz w:val="22"/>
        </w:rPr>
        <w:t>Node</w:t>
      </w:r>
    </w:p>
    <w:p>
      <w:pPr>
        <w:numPr>
          <w:numId w:val="92"/>
        </w:numPr>
        <w:spacing w:before="120" w:after="120" w:line="288" w:lineRule="auto"/>
        <w:ind w:left="453"/>
        <w:jc w:val="left"/>
      </w:pPr>
      <w:r>
        <w:rPr>
          <w:rFonts w:eastAsia="等线" w:ascii="Arial" w:cs="Arial" w:hAnsi="Arial"/>
          <w:b w:val="true"/>
          <w:sz w:val="22"/>
        </w:rPr>
        <w:t>Job Spec</w:t>
      </w:r>
    </w:p>
    <w:p>
      <w:pPr>
        <w:spacing w:before="120" w:after="120" w:line="288" w:lineRule="auto"/>
        <w:ind w:left="907"/>
        <w:jc w:val="left"/>
      </w:pPr>
      <w:r>
        <w:rPr>
          <w:rFonts w:eastAsia="等线" w:ascii="Arial" w:cs="Arial" w:hAnsi="Arial"/>
          <w:sz w:val="22"/>
        </w:rPr>
        <w:t>Job Spec 就像是给 Chainlink 节点下达的“工作指令”或“操作手册”。它详细定义了节点需要执行的一系列任务，以完成一个特定的数据请求。对于获取链下数据而言，Job Spec 中就包含了明确的数据源信息和解析规则。Job Spec 通常由 Chainlink 节点运营商在配置其节点时创建和部署，或者由智能合约通过 Chainlink Functions/Any API 等方式直接指定。</w:t>
      </w:r>
    </w:p>
    <w:p>
      <w:pPr>
        <w:spacing w:before="120" w:after="120" w:line="288" w:lineRule="auto"/>
        <w:ind w:left="907"/>
        <w:jc w:val="left"/>
      </w:pPr>
      <w:r>
        <w:rPr>
          <w:rFonts w:eastAsia="等线" w:ascii="Arial" w:cs="Arial" w:hAnsi="Arial"/>
          <w:sz w:val="22"/>
        </w:rPr>
        <w:t>在 Job Spec 中会包含以下核心信息：</w:t>
      </w:r>
    </w:p>
    <w:p>
      <w:pPr>
        <w:numPr>
          <w:numId w:val="93"/>
        </w:numPr>
        <w:spacing w:before="120" w:after="120" w:line="288" w:lineRule="auto"/>
        <w:ind w:left="907"/>
        <w:jc w:val="left"/>
      </w:pPr>
      <w:r>
        <w:rPr>
          <w:rFonts w:eastAsia="等线" w:ascii="Arial" w:cs="Arial" w:hAnsi="Arial"/>
          <w:b w:val="true"/>
          <w:sz w:val="22"/>
        </w:rPr>
        <w:t>数据源 URL (Endpoint URL)：</w:t>
      </w:r>
      <w:r>
        <w:rPr>
          <w:rFonts w:eastAsia="等线" w:ascii="Arial" w:cs="Arial" w:hAnsi="Arial"/>
          <w:sz w:val="22"/>
        </w:rPr>
        <w:t xml:space="preserve"> 明确指定了 Data Provider 提供数据的 API 端点。 </w:t>
      </w:r>
    </w:p>
    <w:p>
      <w:pPr>
        <w:numPr>
          <w:numId w:val="94"/>
        </w:numPr>
        <w:spacing w:before="120" w:after="120" w:line="288" w:lineRule="auto"/>
        <w:ind w:left="1360"/>
        <w:jc w:val="left"/>
      </w:pPr>
      <w:r>
        <w:rPr>
          <w:rFonts w:eastAsia="等线" w:ascii="Arial" w:cs="Arial" w:hAnsi="Arial"/>
          <w:sz w:val="22"/>
        </w:rPr>
        <w:t>例如：</w:t>
      </w:r>
      <w:r>
        <w:rPr>
          <w:rFonts w:eastAsia="Consolas" w:ascii="Consolas" w:cs="Consolas" w:hAnsi="Consolas"/>
          <w:sz w:val="22"/>
          <w:shd w:fill="EFF0F1"/>
        </w:rPr>
        <w:t>https://api.enterpriseA.com/soybean_price</w:t>
      </w:r>
    </w:p>
    <w:p>
      <w:pPr>
        <w:numPr>
          <w:numId w:val="95"/>
        </w:numPr>
        <w:spacing w:before="120" w:after="120" w:line="288" w:lineRule="auto"/>
        <w:ind w:left="907"/>
        <w:jc w:val="left"/>
      </w:pPr>
      <w:r>
        <w:rPr>
          <w:rFonts w:eastAsia="等线" w:ascii="Arial" w:cs="Arial" w:hAnsi="Arial"/>
          <w:b w:val="true"/>
          <w:sz w:val="22"/>
        </w:rPr>
        <w:t>HTTP 请求方法：</w:t>
      </w:r>
      <w:r>
        <w:rPr>
          <w:rFonts w:eastAsia="等线" w:ascii="Arial" w:cs="Arial" w:hAnsi="Arial"/>
          <w:sz w:val="22"/>
        </w:rPr>
        <w:t xml:space="preserve"> 指明节点应该使用哪种 HTTP 方法来请求数据（通常是 </w:t>
      </w:r>
      <w:r>
        <w:rPr>
          <w:rFonts w:eastAsia="Consolas" w:ascii="Consolas" w:cs="Consolas" w:hAnsi="Consolas"/>
          <w:sz w:val="22"/>
          <w:shd w:fill="EFF0F1"/>
        </w:rPr>
        <w:t>GET</w:t>
      </w:r>
      <w:r>
        <w:rPr>
          <w:rFonts w:eastAsia="等线" w:ascii="Arial" w:cs="Arial" w:hAnsi="Arial"/>
          <w:sz w:val="22"/>
        </w:rPr>
        <w:t xml:space="preserve"> 或 </w:t>
      </w:r>
      <w:r>
        <w:rPr>
          <w:rFonts w:eastAsia="Consolas" w:ascii="Consolas" w:cs="Consolas" w:hAnsi="Consolas"/>
          <w:sz w:val="22"/>
          <w:shd w:fill="EFF0F1"/>
        </w:rPr>
        <w:t>POST</w:t>
      </w:r>
      <w:r>
        <w:rPr>
          <w:rFonts w:eastAsia="等线" w:ascii="Arial" w:cs="Arial" w:hAnsi="Arial"/>
          <w:sz w:val="22"/>
        </w:rPr>
        <w:t>）。</w:t>
      </w:r>
    </w:p>
    <w:p>
      <w:pPr>
        <w:numPr>
          <w:numId w:val="96"/>
        </w:numPr>
        <w:spacing w:before="120" w:after="120" w:line="288" w:lineRule="auto"/>
        <w:ind w:left="907"/>
        <w:jc w:val="left"/>
      </w:pPr>
      <w:r>
        <w:rPr>
          <w:rFonts w:eastAsia="等线" w:ascii="Arial" w:cs="Arial" w:hAnsi="Arial"/>
          <w:b w:val="true"/>
          <w:sz w:val="22"/>
        </w:rPr>
        <w:t>JSONPath 表达式 (或解析逻辑)：</w:t>
      </w:r>
      <w:r>
        <w:rPr>
          <w:rFonts w:eastAsia="等线" w:ascii="Arial" w:cs="Arial" w:hAnsi="Arial"/>
          <w:sz w:val="22"/>
        </w:rPr>
        <w:t xml:space="preserve"> 这是指导节点如何从 API 响应中提取所需数据的关键。 </w:t>
      </w:r>
    </w:p>
    <w:p>
      <w:pPr>
        <w:numPr>
          <w:numId w:val="97"/>
        </w:numPr>
        <w:spacing w:before="120" w:after="120" w:line="288" w:lineRule="auto"/>
        <w:ind w:left="1360"/>
        <w:jc w:val="left"/>
      </w:pPr>
      <w:r>
        <w:rPr>
          <w:rFonts w:eastAsia="等线" w:ascii="Arial" w:cs="Arial" w:hAnsi="Arial"/>
          <w:sz w:val="22"/>
        </w:rPr>
        <w:t xml:space="preserve">如果企业 A 的 API 返回 JSON 格式的数据，Job Spec 会包含一个 JSONPath 表达式（例如 </w:t>
      </w:r>
      <w:r>
        <w:rPr>
          <w:rFonts w:eastAsia="Consolas" w:ascii="Consolas" w:cs="Consolas" w:hAnsi="Consolas"/>
          <w:sz w:val="22"/>
          <w:shd w:fill="EFF0F1"/>
        </w:rPr>
        <w:t>$.price</w:t>
      </w:r>
      <w:r>
        <w:rPr>
          <w:rFonts w:eastAsia="等线" w:ascii="Arial" w:cs="Arial" w:hAnsi="Arial"/>
          <w:sz w:val="22"/>
        </w:rPr>
        <w:t>），告诉节点从 JSON 响应的根目录下的 "price" 字段中获取数值。</w:t>
      </w:r>
    </w:p>
    <w:p>
      <w:pPr>
        <w:numPr>
          <w:numId w:val="98"/>
        </w:numPr>
        <w:spacing w:before="120" w:after="120" w:line="288" w:lineRule="auto"/>
        <w:ind w:left="1360"/>
        <w:jc w:val="left"/>
      </w:pPr>
      <w:r>
        <w:rPr>
          <w:rFonts w:eastAsia="等线" w:ascii="Arial" w:cs="Arial" w:hAnsi="Arial"/>
          <w:sz w:val="22"/>
        </w:rPr>
        <w:t xml:space="preserve">如果数据格式更复杂，或者需要进行额外的计算/转换，Job Spec 可能会引用一个 </w:t>
      </w:r>
      <w:r>
        <w:rPr>
          <w:rFonts w:eastAsia="等线" w:ascii="Arial" w:cs="Arial" w:hAnsi="Arial"/>
          <w:b w:val="true"/>
          <w:sz w:val="22"/>
        </w:rPr>
        <w:t>外部适配器 (External Adapter)</w:t>
      </w:r>
      <w:r>
        <w:rPr>
          <w:rFonts w:eastAsia="等线" w:ascii="Arial" w:cs="Arial" w:hAnsi="Arial"/>
          <w:sz w:val="22"/>
        </w:rPr>
        <w:t>。</w:t>
      </w:r>
    </w:p>
    <w:p>
      <w:pPr>
        <w:numPr>
          <w:numId w:val="99"/>
        </w:numPr>
        <w:spacing w:before="120" w:after="120" w:line="288" w:lineRule="auto"/>
        <w:ind w:left="453"/>
        <w:jc w:val="left"/>
      </w:pPr>
      <w:r>
        <w:rPr>
          <w:rFonts w:eastAsia="等线" w:ascii="Arial" w:cs="Arial" w:hAnsi="Arial"/>
          <w:b w:val="true"/>
          <w:sz w:val="22"/>
        </w:rPr>
        <w:t>Data Provider 与 Node 接入方式</w:t>
      </w:r>
    </w:p>
    <w:p>
      <w:pPr>
        <w:numPr>
          <w:numId w:val="100"/>
        </w:numPr>
        <w:spacing w:before="120" w:after="120" w:line="288" w:lineRule="auto"/>
        <w:ind w:left="907"/>
        <w:jc w:val="left"/>
      </w:pPr>
      <w:r>
        <w:rPr>
          <w:rFonts w:eastAsia="等线" w:ascii="Arial" w:cs="Arial" w:hAnsi="Arial"/>
          <w:sz w:val="22"/>
        </w:rPr>
        <w:t>与现有 Chainlink 节点运营商合作</w:t>
      </w:r>
    </w:p>
    <w:p>
      <w:pPr>
        <w:numPr>
          <w:numId w:val="101"/>
        </w:numPr>
        <w:spacing w:before="120" w:after="120" w:line="288" w:lineRule="auto"/>
        <w:ind w:left="907"/>
        <w:jc w:val="left"/>
      </w:pPr>
      <w:r>
        <w:rPr>
          <w:rFonts w:eastAsia="等线" w:ascii="Arial" w:cs="Arial" w:hAnsi="Arial"/>
          <w:sz w:val="22"/>
        </w:rPr>
        <w:t>自己运营 Chainlink 节点</w:t>
      </w:r>
    </w:p>
    <w:p>
      <w:pPr>
        <w:numPr>
          <w:numId w:val="102"/>
        </w:numPr>
        <w:spacing w:before="120" w:after="120" w:line="288" w:lineRule="auto"/>
        <w:ind w:left="453"/>
        <w:jc w:val="left"/>
      </w:pPr>
      <w:r>
        <w:rPr>
          <w:rFonts w:eastAsia="等线" w:ascii="Arial" w:cs="Arial" w:hAnsi="Arial"/>
          <w:b w:val="true"/>
          <w:sz w:val="22"/>
        </w:rPr>
        <w:t>Node 获取 Data 流程</w:t>
      </w:r>
    </w:p>
    <w:p>
      <w:pPr>
        <w:numPr>
          <w:numId w:val="103"/>
        </w:numPr>
        <w:spacing w:before="120" w:after="120" w:line="288" w:lineRule="auto"/>
        <w:ind w:left="907"/>
        <w:jc w:val="left"/>
      </w:pPr>
      <w:r>
        <w:rPr>
          <w:rFonts w:eastAsia="等线" w:ascii="Arial" w:cs="Arial" w:hAnsi="Arial"/>
          <w:sz w:val="22"/>
        </w:rPr>
        <w:t>节点配置</w:t>
      </w:r>
    </w:p>
    <w:p>
      <w:pPr>
        <w:spacing w:before="120" w:after="120" w:line="288" w:lineRule="auto"/>
        <w:ind w:left="1360"/>
        <w:jc w:val="left"/>
      </w:pPr>
      <w:r>
        <w:rPr>
          <w:rFonts w:eastAsia="等线" w:ascii="Arial" w:cs="Arial" w:hAnsi="Arial"/>
          <w:sz w:val="22"/>
        </w:rPr>
        <w:t xml:space="preserve"> Chainlink 节点运营商在设置其节点时，会向节点加载一系列的  Job Spec 。这些 Job Specs 包含了节点能够提供哪些服务的详细指令。其中一个 Job Spec 可能就是专门用于获取价格数据的。</w:t>
      </w:r>
    </w:p>
    <w:p>
      <w:pPr>
        <w:numPr>
          <w:numId w:val="104"/>
        </w:numPr>
        <w:spacing w:before="120" w:after="120" w:line="288" w:lineRule="auto"/>
        <w:ind w:left="907"/>
        <w:jc w:val="left"/>
      </w:pPr>
      <w:r>
        <w:rPr>
          <w:rFonts w:eastAsia="等线" w:ascii="Arial" w:cs="Arial" w:hAnsi="Arial"/>
          <w:sz w:val="22"/>
        </w:rPr>
        <w:t>服务提供者注册</w:t>
      </w:r>
    </w:p>
    <w:p>
      <w:pPr>
        <w:spacing w:before="120" w:after="120" w:line="288" w:lineRule="auto"/>
        <w:ind w:left="1360"/>
        <w:jc w:val="left"/>
      </w:pPr>
      <w:r>
        <w:rPr>
          <w:rFonts w:eastAsia="等线" w:ascii="Arial" w:cs="Arial" w:hAnsi="Arial"/>
          <w:sz w:val="22"/>
        </w:rPr>
        <w:t>在 Chainlink Data Feeds 的场景中，节点运营商会使其节点成为一个特定 Data Feed（如BTCUSDT价格喂价）的参与者。这意味着该节点声明自己能够提供这个数据。</w:t>
      </w:r>
    </w:p>
    <w:p>
      <w:pPr>
        <w:numPr>
          <w:numId w:val="105"/>
        </w:numPr>
        <w:spacing w:before="120" w:after="120" w:line="288" w:lineRule="auto"/>
        <w:ind w:left="907"/>
        <w:jc w:val="left"/>
      </w:pPr>
      <w:r>
        <w:rPr>
          <w:rFonts w:eastAsia="等线" w:ascii="Arial" w:cs="Arial" w:hAnsi="Arial"/>
          <w:sz w:val="22"/>
        </w:rPr>
        <w:t>智能合约请求</w:t>
      </w:r>
    </w:p>
    <w:p>
      <w:pPr>
        <w:numPr>
          <w:numId w:val="106"/>
        </w:numPr>
        <w:spacing w:before="120" w:after="120" w:line="288" w:lineRule="auto"/>
        <w:ind w:left="1360"/>
        <w:jc w:val="left"/>
      </w:pPr>
      <w:r>
        <w:rPr>
          <w:rFonts w:eastAsia="等线" w:ascii="Arial" w:cs="Arial" w:hAnsi="Arial"/>
          <w:sz w:val="22"/>
        </w:rPr>
        <w:t>当企业 A 在以太坊上的智能合约需要大豆价格时，它会向 Chainlink 的</w:t>
      </w:r>
      <w:r>
        <w:rPr>
          <w:rFonts w:eastAsia="等线" w:ascii="Arial" w:cs="Arial" w:hAnsi="Arial"/>
          <w:b w:val="true"/>
          <w:sz w:val="22"/>
        </w:rPr>
        <w:t>聚合器合约</w:t>
      </w:r>
      <w:r>
        <w:rPr>
          <w:rFonts w:eastAsia="等线" w:ascii="Arial" w:cs="Arial" w:hAnsi="Arial"/>
          <w:sz w:val="22"/>
        </w:rPr>
        <w:t>发起请求（或者直接调用）。</w:t>
      </w:r>
    </w:p>
    <w:p>
      <w:pPr>
        <w:numPr>
          <w:numId w:val="107"/>
        </w:numPr>
        <w:spacing w:before="120" w:after="120" w:line="288" w:lineRule="auto"/>
        <w:ind w:left="1360"/>
        <w:jc w:val="left"/>
      </w:pPr>
      <w:r>
        <w:rPr>
          <w:rFonts w:eastAsia="等线" w:ascii="Arial" w:cs="Arial" w:hAnsi="Arial"/>
          <w:sz w:val="22"/>
        </w:rPr>
        <w:t>聚合器合约（或 Chainlink 协调器）会选择一组合格的 Chainlink 节点来满足这个请求。</w:t>
      </w:r>
    </w:p>
    <w:p>
      <w:pPr>
        <w:numPr>
          <w:numId w:val="108"/>
        </w:numPr>
        <w:spacing w:before="120" w:after="120" w:line="288" w:lineRule="auto"/>
        <w:ind w:left="907"/>
        <w:jc w:val="left"/>
      </w:pPr>
      <w:r>
        <w:rPr>
          <w:rFonts w:eastAsia="等线" w:ascii="Arial" w:cs="Arial" w:hAnsi="Arial"/>
          <w:sz w:val="22"/>
        </w:rPr>
        <w:t>Job Spec 触发与执行</w:t>
      </w:r>
    </w:p>
    <w:p>
      <w:pPr>
        <w:numPr>
          <w:numId w:val="109"/>
        </w:numPr>
        <w:spacing w:before="120" w:after="120" w:line="288" w:lineRule="auto"/>
        <w:ind w:left="1360"/>
        <w:jc w:val="left"/>
      </w:pPr>
      <w:r>
        <w:rPr>
          <w:rFonts w:eastAsia="等线" w:ascii="Arial" w:cs="Arial" w:hAnsi="Arial"/>
          <w:sz w:val="22"/>
        </w:rPr>
        <w:t>被选中的 Chainlink 节点收到链上的数据请求事件。</w:t>
      </w:r>
    </w:p>
    <w:p>
      <w:pPr>
        <w:numPr>
          <w:numId w:val="110"/>
        </w:numPr>
        <w:spacing w:before="120" w:after="120" w:line="288" w:lineRule="auto"/>
        <w:ind w:left="1360"/>
        <w:jc w:val="left"/>
      </w:pPr>
      <w:r>
        <w:rPr>
          <w:rFonts w:eastAsia="等线" w:ascii="Arial" w:cs="Arial" w:hAnsi="Arial"/>
          <w:sz w:val="22"/>
        </w:rPr>
        <w:t xml:space="preserve">节点会查看其内部存储的 Job Specs，找到与该请求对应的 Job Spec（例如，根据 </w:t>
      </w:r>
      <w:r>
        <w:rPr>
          <w:rFonts w:eastAsia="Consolas" w:ascii="Consolas" w:cs="Consolas" w:hAnsi="Consolas"/>
          <w:sz w:val="22"/>
          <w:shd w:fill="EFF0F1"/>
        </w:rPr>
        <w:t>jobId</w:t>
      </w:r>
      <w:r>
        <w:rPr>
          <w:rFonts w:eastAsia="等线" w:ascii="Arial" w:cs="Arial" w:hAnsi="Arial"/>
          <w:sz w:val="22"/>
        </w:rPr>
        <w:t xml:space="preserve"> 匹配）。</w:t>
      </w:r>
    </w:p>
    <w:p>
      <w:pPr>
        <w:numPr>
          <w:numId w:val="111"/>
        </w:numPr>
        <w:spacing w:before="120" w:after="120" w:line="288" w:lineRule="auto"/>
        <w:ind w:left="1360"/>
        <w:jc w:val="left"/>
      </w:pPr>
      <w:r>
        <w:rPr>
          <w:rFonts w:eastAsia="等线" w:ascii="Arial" w:cs="Arial" w:hAnsi="Arial"/>
          <w:sz w:val="22"/>
        </w:rPr>
        <w:t>根据 Job Spec 的指示，节点执行一系列“任务 (Tasks)”，例如：</w:t>
      </w:r>
    </w:p>
    <w:p>
      <w:pPr>
        <w:numPr>
          <w:numId w:val="112"/>
        </w:numPr>
        <w:spacing w:before="120" w:after="120" w:line="288" w:lineRule="auto"/>
        <w:ind w:left="1814"/>
        <w:jc w:val="left"/>
      </w:pPr>
      <w:r>
        <w:rPr>
          <w:rFonts w:eastAsia="等线" w:ascii="Arial" w:cs="Arial" w:hAnsi="Arial"/>
          <w:sz w:val="22"/>
        </w:rPr>
        <w:t>HTTP GET/POST Task</w:t>
      </w:r>
    </w:p>
    <w:p>
      <w:pPr>
        <w:spacing w:before="120" w:after="120" w:line="288" w:lineRule="auto"/>
        <w:ind w:left="2268"/>
        <w:jc w:val="left"/>
      </w:pPr>
      <w:r>
        <w:rPr>
          <w:rFonts w:eastAsia="等线" w:ascii="Arial" w:cs="Arial" w:hAnsi="Arial"/>
          <w:sz w:val="22"/>
        </w:rPr>
        <w:t xml:space="preserve">节点会根据 Job Spec 中指定的 URL（即企业 A 的 API 端点 </w:t>
      </w:r>
      <w:r>
        <w:rPr>
          <w:rFonts w:eastAsia="Consolas" w:ascii="Consolas" w:cs="Consolas" w:hAnsi="Consolas"/>
          <w:sz w:val="22"/>
          <w:shd w:fill="EFF0F1"/>
        </w:rPr>
        <w:t>https://api.enterpriseA.com/soybean_price</w:t>
      </w:r>
      <w:r>
        <w:rPr>
          <w:rFonts w:eastAsia="等线" w:ascii="Arial" w:cs="Arial" w:hAnsi="Arial"/>
          <w:sz w:val="22"/>
        </w:rPr>
        <w:t>）发送 HTTP 请求。</w:t>
      </w:r>
    </w:p>
    <w:p>
      <w:pPr>
        <w:numPr>
          <w:numId w:val="113"/>
        </w:numPr>
        <w:spacing w:before="120" w:after="120" w:line="288" w:lineRule="auto"/>
        <w:ind w:left="1814"/>
        <w:jc w:val="left"/>
      </w:pPr>
      <w:r>
        <w:rPr>
          <w:rFonts w:eastAsia="等线" w:ascii="Arial" w:cs="Arial" w:hAnsi="Arial"/>
          <w:sz w:val="22"/>
        </w:rPr>
        <w:t>JSON Parse Task</w:t>
      </w:r>
    </w:p>
    <w:tbl>
      <w:tblPr>
        <w:tblW w:w="0" w:type="auto"/>
        <w:tblInd w:w="2268" w:type="dxa"/>
        <w:tblBorders>
          <w:top w:val="single" w:color="dee0e3"/>
          <w:left w:val="single" w:color="dee0e3"/>
          <w:bottom w:val="single" w:color="dee0e3"/>
          <w:right w:val="single" w:color="dee0e3"/>
          <w:insideH w:val="single" w:color="dee0e3"/>
          <w:insideV w:val="single" w:color="dee0e3"/>
        </w:tblBorders>
        <w:tblLayout w:type="fixed"/>
      </w:tblPr>
      <w:tblGrid>
        <w:gridCol w:w="6012"/>
      </w:tblGrid>
      <w:tr>
        <w:tc>
          <w:tcPr>
            <w:tcW w:w="6012"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"symbol": "SOYBEAN_USD",</w:t>
              <w:br/>
              <w:t xml:space="preserve">  "price": 1250.75,</w:t>
              <w:br/>
              <w:t xml:space="preserve">  "timestamp": 1716307200,</w:t>
              <w:br/>
              <w:t xml:space="preserve">  "unit": "USD_PER_BUSHEL"</w:t>
              <w:br/>
            </w:r>
            <w:r>
              <w:rPr>
                <w:rFonts w:eastAsia="Consolas" w:ascii="Consolas" w:cs="Consolas" w:hAnsi="Consolas"/>
                <w:sz w:val="22"/>
              </w:rPr>
              <w:t>}</w:t>
            </w:r>
          </w:p>
        </w:tc>
      </w:tr>
    </w:tbl>
    <w:p>
      <w:pPr>
        <w:numPr>
          <w:numId w:val="114"/>
        </w:numPr>
        <w:spacing w:before="120" w:after="120" w:line="288" w:lineRule="auto"/>
        <w:ind w:left="1814"/>
        <w:jc w:val="left"/>
      </w:pPr>
      <w:r>
        <w:rPr>
          <w:rFonts w:eastAsia="等线" w:ascii="Arial" w:cs="Arial" w:hAnsi="Arial"/>
          <w:sz w:val="22"/>
        </w:rPr>
        <w:t>其他 Tasks</w:t>
      </w:r>
    </w:p>
    <w:p>
      <w:pPr>
        <w:spacing w:before="120" w:after="120" w:line="288" w:lineRule="auto"/>
        <w:ind w:left="2268"/>
        <w:jc w:val="left"/>
      </w:pPr>
      <w:r>
        <w:rPr>
          <w:rFonts w:eastAsia="等线" w:ascii="Arial" w:cs="Arial" w:hAnsi="Arial"/>
          <w:sz w:val="22"/>
        </w:rPr>
        <w:t xml:space="preserve"> 可能还有如 </w:t>
      </w:r>
      <w:r>
        <w:rPr>
          <w:rFonts w:eastAsia="Consolas" w:ascii="Consolas" w:cs="Consolas" w:hAnsi="Consolas"/>
          <w:sz w:val="22"/>
          <w:shd w:fill="EFF0F1"/>
        </w:rPr>
        <w:t>multiply</w:t>
      </w:r>
      <w:r>
        <w:rPr>
          <w:rFonts w:eastAsia="等线" w:ascii="Arial" w:cs="Arial" w:hAnsi="Arial"/>
          <w:sz w:val="22"/>
        </w:rPr>
        <w:t>（进行单位转换）、</w:t>
      </w:r>
      <w:r>
        <w:rPr>
          <w:rFonts w:eastAsia="Consolas" w:ascii="Consolas" w:cs="Consolas" w:hAnsi="Consolas"/>
          <w:sz w:val="22"/>
          <w:shd w:fill="EFF0F1"/>
        </w:rPr>
        <w:t>ethabiencode</w:t>
      </w:r>
      <w:r>
        <w:rPr>
          <w:rFonts w:eastAsia="等线" w:ascii="Arial" w:cs="Arial" w:hAnsi="Arial"/>
          <w:sz w:val="22"/>
        </w:rPr>
        <w:t>（将数据编码成区块链可识别的格式）、</w:t>
      </w:r>
      <w:r>
        <w:rPr>
          <w:rFonts w:eastAsia="Consolas" w:ascii="Consolas" w:cs="Consolas" w:hAnsi="Consolas"/>
          <w:sz w:val="22"/>
          <w:shd w:fill="EFF0F1"/>
        </w:rPr>
        <w:t>ethtx</w:t>
      </w:r>
      <w:r>
        <w:rPr>
          <w:rFonts w:eastAsia="等线" w:ascii="Arial" w:cs="Arial" w:hAnsi="Arial"/>
          <w:sz w:val="22"/>
        </w:rPr>
        <w:t>（将最终数据提交到链上）等任务。</w:t>
      </w:r>
    </w:p>
    <w:p>
      <w:pPr>
        <w:numPr>
          <w:numId w:val="115"/>
        </w:numPr>
        <w:spacing w:before="120" w:after="120" w:line="288" w:lineRule="auto"/>
        <w:ind w:left="1814"/>
        <w:jc w:val="left"/>
      </w:pPr>
      <w:r>
        <w:rPr>
          <w:rFonts w:eastAsia="等线" w:ascii="Arial" w:cs="Arial" w:hAnsi="Arial"/>
          <w:sz w:val="22"/>
        </w:rPr>
        <w:t>外部适配器</w:t>
      </w:r>
    </w:p>
    <w:p>
      <w:pPr>
        <w:spacing w:before="120" w:after="120" w:line="288" w:lineRule="auto"/>
        <w:ind w:left="2268"/>
        <w:jc w:val="left"/>
      </w:pPr>
      <w:r>
        <w:rPr>
          <w:rFonts w:eastAsia="等线" w:ascii="Arial" w:cs="Arial" w:hAnsi="Arial"/>
          <w:sz w:val="22"/>
        </w:rPr>
        <w:t xml:space="preserve">如果涉及到外部适配器，Job Spec 会有一个 </w:t>
      </w:r>
      <w:r>
        <w:rPr>
          <w:rFonts w:eastAsia="Consolas" w:ascii="Consolas" w:cs="Consolas" w:hAnsi="Consolas"/>
          <w:sz w:val="22"/>
          <w:shd w:fill="EFF0F1"/>
        </w:rPr>
        <w:t>bridge</w:t>
      </w:r>
      <w:r>
        <w:rPr>
          <w:rFonts w:eastAsia="等线" w:ascii="Arial" w:cs="Arial" w:hAnsi="Arial"/>
          <w:sz w:val="22"/>
        </w:rPr>
        <w:t xml:space="preserve"> 类型的任务，告诉节点去调用这个外部适配器，而外部适配器则负责与企业 A 的 API 交互并返回处理后的结果。</w:t>
      </w:r>
    </w:p>
    <w:p>
      <w:pPr>
        <w:numPr>
          <w:numId w:val="116"/>
        </w:numPr>
        <w:spacing w:before="120" w:after="120" w:line="288" w:lineRule="auto"/>
        <w:ind w:left="907"/>
        <w:jc w:val="left"/>
      </w:pPr>
      <w:r>
        <w:rPr>
          <w:rFonts w:eastAsia="等线" w:ascii="Arial" w:cs="Arial" w:hAnsi="Arial"/>
          <w:sz w:val="22"/>
        </w:rPr>
        <w:t>数据聚合与链上提交</w:t>
      </w:r>
    </w:p>
    <w:p>
      <w:pPr>
        <w:spacing w:before="120" w:after="120" w:line="288" w:lineRule="auto"/>
        <w:ind w:left="1360"/>
        <w:jc w:val="left"/>
      </w:pPr>
      <w:r>
        <w:rPr>
          <w:rFonts w:eastAsia="等线" w:ascii="Arial" w:cs="Arial" w:hAnsi="Arial"/>
          <w:sz w:val="22"/>
        </w:rPr>
        <w:t>多个参与的节点会执行上述步骤，然后在链下通过 OCR 协议进行数据聚合。最终，一个聚合后的价格会被提交到链上，供企业 A 的合约使用。</w:t>
      </w:r>
    </w:p>
    <w:p>
      <w:pPr>
        <w:numPr>
          <w:numId w:val="117"/>
        </w:numPr>
        <w:spacing w:before="120" w:after="120" w:line="288" w:lineRule="auto"/>
        <w:ind w:left="453"/>
        <w:jc w:val="left"/>
      </w:pPr>
      <w:r>
        <w:rPr>
          <w:rFonts w:eastAsia="等线" w:ascii="Arial" w:cs="Arial" w:hAnsi="Arial"/>
          <w:sz w:val="22"/>
        </w:rPr>
        <w:t>潜在收益</w:t>
      </w:r>
    </w:p>
    <w:p>
      <w:pPr>
        <w:numPr>
          <w:numId w:val="118"/>
        </w:numPr>
        <w:spacing w:before="120" w:after="120" w:line="288" w:lineRule="auto"/>
        <w:ind w:left="907"/>
        <w:jc w:val="left"/>
      </w:pPr>
      <w:r>
        <w:rPr>
          <w:rFonts w:eastAsia="等线" w:ascii="Arial" w:cs="Arial" w:hAnsi="Arial"/>
          <w:sz w:val="22"/>
        </w:rPr>
        <w:t>提供专有、高质量或有价值的数据，Data Provider 可以向 Chainlink 节点运营商收费，以提供 Api 访问。</w:t>
      </w:r>
    </w:p>
    <w:p>
      <w:pPr>
        <w:numPr>
          <w:numId w:val="119"/>
        </w:numPr>
        <w:spacing w:before="120" w:after="120" w:line="288" w:lineRule="auto"/>
        <w:ind w:left="907"/>
        <w:jc w:val="left"/>
      </w:pPr>
      <w:r>
        <w:rPr>
          <w:rFonts w:eastAsia="等线" w:ascii="Arial" w:cs="Arial" w:hAnsi="Arial"/>
          <w:sz w:val="22"/>
        </w:rPr>
        <w:t>消费者 在使用以太坊网络上的智能合约数据时，那么该智能合约需要向 Chainlink 节点运营商支付费用。</w:t>
      </w:r>
    </w:p>
    <w:p>
      <w:pPr>
        <w:numPr>
          <w:numId w:val="120"/>
        </w:numPr>
        <w:spacing w:before="120" w:after="120" w:line="288" w:lineRule="auto"/>
        <w:ind w:left="1360"/>
        <w:jc w:val="left"/>
      </w:pPr>
      <w:r>
        <w:rPr>
          <w:rFonts w:eastAsia="等线" w:ascii="Arial" w:cs="Arial" w:hAnsi="Arial"/>
          <w:sz w:val="22"/>
        </w:rPr>
        <w:t>支付 LINK 代币</w:t>
      </w:r>
    </w:p>
    <w:p>
      <w:pPr>
        <w:spacing w:before="120" w:after="120" w:line="288" w:lineRule="auto"/>
        <w:ind w:left="1814"/>
        <w:jc w:val="left"/>
      </w:pPr>
      <w:r>
        <w:rPr>
          <w:rFonts w:eastAsia="等线" w:ascii="Arial" w:cs="Arial" w:hAnsi="Arial"/>
          <w:sz w:val="22"/>
        </w:rPr>
        <w:t xml:space="preserve"> 智能合约使用 Chainlink 服务（无论是 Data Feeds、VRF、Automation 还是 Functions）都需要支付 Chainlink 的原生代币 LINK 作为服务费。这些费用直接支付给提供服务的 Chainlink 节点运营商。</w:t>
      </w:r>
    </w:p>
    <w:p>
      <w:pPr>
        <w:numPr>
          <w:numId w:val="121"/>
        </w:numPr>
        <w:spacing w:before="120" w:after="120" w:line="288" w:lineRule="auto"/>
        <w:ind w:left="1360"/>
        <w:jc w:val="left"/>
      </w:pPr>
      <w:r>
        <w:rPr>
          <w:rFonts w:eastAsia="等线" w:ascii="Arial" w:cs="Arial" w:hAnsi="Arial"/>
          <w:sz w:val="22"/>
        </w:rPr>
        <w:t>费用构成</w:t>
      </w:r>
    </w:p>
    <w:p>
      <w:pPr>
        <w:spacing w:before="120" w:after="120" w:line="288" w:lineRule="auto"/>
        <w:ind w:left="1814"/>
        <w:jc w:val="left"/>
      </w:pPr>
      <w:r>
        <w:rPr>
          <w:rFonts w:eastAsia="等线" w:ascii="Arial" w:cs="Arial" w:hAnsi="Arial"/>
          <w:sz w:val="22"/>
        </w:rPr>
        <w:t xml:space="preserve">费用通常包括： </w:t>
      </w:r>
    </w:p>
    <w:p>
      <w:pPr>
        <w:numPr>
          <w:numId w:val="122"/>
        </w:numPr>
        <w:spacing w:before="120" w:after="120" w:line="288" w:lineRule="auto"/>
        <w:ind w:left="1814"/>
        <w:jc w:val="left"/>
      </w:pPr>
      <w:r>
        <w:rPr>
          <w:rFonts w:eastAsia="等线" w:ascii="Arial" w:cs="Arial" w:hAnsi="Arial"/>
          <w:sz w:val="22"/>
        </w:rPr>
        <w:t>Gas 成本: 节点将数据提交到链上所需的以太坊 Gas 费用。</w:t>
      </w:r>
    </w:p>
    <w:p>
      <w:pPr>
        <w:numPr>
          <w:numId w:val="123"/>
        </w:numPr>
        <w:spacing w:before="120" w:after="120" w:line="288" w:lineRule="auto"/>
        <w:ind w:left="1814"/>
        <w:jc w:val="left"/>
      </w:pPr>
      <w:r>
        <w:rPr>
          <w:rFonts w:eastAsia="等线" w:ascii="Arial" w:cs="Arial" w:hAnsi="Arial"/>
          <w:sz w:val="22"/>
        </w:rPr>
        <w:t>服务溢价: 支付给节点运营商，作为他们运行基础设施、维护服务质量和承担风险的报酬。</w:t>
      </w:r>
    </w:p>
    <w:p>
      <w:pPr>
        <w:numPr>
          <w:numId w:val="124"/>
        </w:numPr>
        <w:spacing w:before="120" w:after="120" w:line="288" w:lineRule="auto"/>
        <w:ind w:left="1360"/>
        <w:jc w:val="left"/>
      </w:pPr>
      <w:r>
        <w:rPr>
          <w:rFonts w:eastAsia="等线" w:ascii="Arial" w:cs="Arial" w:hAnsi="Arial"/>
          <w:sz w:val="22"/>
        </w:rPr>
        <w:t>灵活的支付方式</w:t>
      </w:r>
    </w:p>
    <w:p>
      <w:pPr>
        <w:spacing w:before="120" w:after="120" w:line="288" w:lineRule="auto"/>
        <w:ind w:left="1814"/>
        <w:jc w:val="left"/>
      </w:pPr>
      <w:r>
        <w:rPr>
          <w:rFonts w:eastAsia="等线" w:ascii="Arial" w:cs="Arial" w:hAnsi="Arial"/>
          <w:sz w:val="22"/>
        </w:rPr>
        <w:t>尽管最终支付是 LINK，但 Chainlink 提供了“支付抽象 (Payment Abstraction)”等机制，允许智能合约开发者用其他加密资产（如 ETH、稳定币）来支付，然后由 Chainlink 的自动化服务在后台将其转换为 LINK。</w:t>
      </w:r>
    </w:p>
    <w:p>
      <w:pPr>
        <w:numPr>
          <w:numId w:val="125"/>
        </w:numPr>
        <w:spacing w:before="120" w:after="120" w:line="288" w:lineRule="auto"/>
        <w:ind w:left="0"/>
        <w:jc w:val="left"/>
      </w:pPr>
      <w:r>
        <w:rPr>
          <w:rFonts w:eastAsia="等线" w:ascii="Arial" w:cs="Arial" w:hAnsi="Arial"/>
          <w:b w:val="true"/>
          <w:sz w:val="22"/>
        </w:rPr>
        <w:t>External Adapter</w:t>
      </w:r>
    </w:p>
    <w:p>
      <w:pPr>
        <w:numPr>
          <w:numId w:val="126"/>
        </w:numPr>
        <w:spacing w:before="120" w:after="120" w:line="288" w:lineRule="auto"/>
        <w:ind w:left="453"/>
        <w:jc w:val="left"/>
      </w:pPr>
      <w:r>
        <w:rPr>
          <w:rFonts w:eastAsia="等线" w:ascii="Arial" w:cs="Arial" w:hAnsi="Arial"/>
          <w:b w:val="true"/>
          <w:sz w:val="22"/>
        </w:rPr>
        <w:t>处理复杂逻辑</w:t>
      </w:r>
    </w:p>
    <w:p>
      <w:pPr>
        <w:spacing w:before="120" w:after="120" w:line="288" w:lineRule="auto"/>
        <w:ind w:left="907"/>
        <w:jc w:val="left"/>
      </w:pPr>
      <w:r>
        <w:rPr>
          <w:rFonts w:eastAsia="等线" w:ascii="Arial" w:cs="Arial" w:hAnsi="Arial"/>
          <w:sz w:val="22"/>
        </w:rPr>
        <w:t xml:space="preserve">如果仅仅通过 JSONPath 无法满足数据解析或预处理的需求（例如，数据需要多步转换，或者从多个 API 获取后进行初步合并，或者需要特殊认证），节点运营商会开发或使用一个 </w:t>
      </w:r>
      <w:r>
        <w:rPr>
          <w:rFonts w:eastAsia="等线" w:ascii="Arial" w:cs="Arial" w:hAnsi="Arial"/>
          <w:b w:val="true"/>
          <w:sz w:val="22"/>
        </w:rPr>
        <w:t>External Adapter</w:t>
      </w:r>
      <w:r>
        <w:rPr>
          <w:rFonts w:eastAsia="等线" w:ascii="Arial" w:cs="Arial" w:hAnsi="Arial"/>
          <w:sz w:val="22"/>
        </w:rPr>
        <w:t>。</w:t>
      </w:r>
    </w:p>
    <w:p>
      <w:pPr>
        <w:numPr>
          <w:numId w:val="127"/>
        </w:numPr>
        <w:spacing w:before="120" w:after="120" w:line="288" w:lineRule="auto"/>
        <w:ind w:left="453"/>
        <w:jc w:val="left"/>
      </w:pPr>
      <w:r>
        <w:rPr>
          <w:rFonts w:eastAsia="等线" w:ascii="Arial" w:cs="Arial" w:hAnsi="Arial"/>
          <w:b w:val="true"/>
          <w:sz w:val="22"/>
        </w:rPr>
        <w:t>独立服务</w:t>
      </w:r>
    </w:p>
    <w:p>
      <w:pPr>
        <w:spacing w:before="120" w:after="120" w:line="288" w:lineRule="auto"/>
        <w:ind w:left="907"/>
        <w:jc w:val="left"/>
      </w:pPr>
      <w:r>
        <w:rPr>
          <w:rFonts w:eastAsia="等线" w:ascii="Arial" w:cs="Arial" w:hAnsi="Arial"/>
          <w:sz w:val="22"/>
        </w:rPr>
        <w:t>External Adapter 也是一个独立运行的服务（通常是一个小型 Web 服务器），它与 Chainlink 节点通过本地网络通信。Job Spec 会告诉节点去调用这个 External Adapter。</w:t>
      </w:r>
    </w:p>
    <w:p>
      <w:pPr>
        <w:numPr>
          <w:numId w:val="128"/>
        </w:numPr>
        <w:spacing w:before="120" w:after="120" w:line="288" w:lineRule="auto"/>
        <w:ind w:left="453"/>
        <w:jc w:val="left"/>
      </w:pPr>
      <w:r>
        <w:rPr>
          <w:rFonts w:eastAsia="等线" w:ascii="Arial" w:cs="Arial" w:hAnsi="Arial"/>
          <w:b w:val="true"/>
          <w:sz w:val="22"/>
        </w:rPr>
        <w:t>API 凭证管理</w:t>
      </w:r>
    </w:p>
    <w:p>
      <w:pPr>
        <w:spacing w:before="120" w:after="120" w:line="288" w:lineRule="auto"/>
        <w:ind w:left="907"/>
        <w:jc w:val="left"/>
      </w:pPr>
      <w:r>
        <w:rPr>
          <w:rFonts w:eastAsia="等线" w:ascii="Arial" w:cs="Arial" w:hAnsi="Arial"/>
          <w:sz w:val="22"/>
        </w:rPr>
        <w:t>如果企业 A 的 API 需要认证（如 API Key），External Adapter 也可以安全地存储和管理这些敏感凭证，避免直接在 Job Spec 中暴露。</w:t>
      </w:r>
    </w:p>
    <w:p>
      <w:pPr>
        <w:numPr>
          <w:numId w:val="129"/>
        </w:numPr>
        <w:spacing w:before="120" w:after="120" w:line="288" w:lineRule="auto"/>
        <w:ind w:left="0"/>
        <w:jc w:val="left"/>
      </w:pPr>
      <w:r>
        <w:rPr>
          <w:rFonts w:eastAsia="等线" w:ascii="Arial" w:cs="Arial" w:hAnsi="Arial"/>
          <w:b w:val="true"/>
          <w:sz w:val="22"/>
        </w:rPr>
        <w:t>Dons</w:t>
      </w:r>
    </w:p>
    <w:p>
      <w:pPr>
        <w:numPr>
          <w:numId w:val="130"/>
        </w:numPr>
        <w:spacing w:before="120" w:after="120" w:line="288" w:lineRule="auto"/>
        <w:ind w:left="453"/>
        <w:jc w:val="left"/>
      </w:pPr>
      <w:r>
        <w:rPr>
          <w:rFonts w:eastAsia="等线" w:ascii="Arial" w:cs="Arial" w:hAnsi="Arial"/>
          <w:b w:val="true"/>
          <w:sz w:val="22"/>
        </w:rPr>
        <w:t>多节点协作</w:t>
      </w:r>
    </w:p>
    <w:p>
      <w:pPr>
        <w:spacing w:before="120" w:after="120" w:line="288" w:lineRule="auto"/>
        <w:ind w:left="907"/>
        <w:jc w:val="left"/>
      </w:pPr>
      <w:r>
        <w:rPr>
          <w:rFonts w:eastAsia="等线" w:ascii="Arial" w:cs="Arial" w:hAnsi="Arial"/>
          <w:sz w:val="22"/>
        </w:rPr>
        <w:t>一个 DON 由多个独立的 Chainlink 节点组成。当智能合约请求数据时，这些节点会并行地从多个链下数据源获取数据。</w:t>
      </w:r>
    </w:p>
    <w:p>
      <w:pPr>
        <w:numPr>
          <w:numId w:val="131"/>
        </w:numPr>
        <w:spacing w:before="120" w:after="120" w:line="288" w:lineRule="auto"/>
        <w:ind w:left="453"/>
        <w:jc w:val="left"/>
      </w:pPr>
      <w:r>
        <w:rPr>
          <w:rFonts w:eastAsia="等线" w:ascii="Arial" w:cs="Arial" w:hAnsi="Arial"/>
          <w:b w:val="true"/>
          <w:sz w:val="22"/>
        </w:rPr>
        <w:t>链下聚合与共识</w:t>
      </w:r>
    </w:p>
    <w:p>
      <w:pPr>
        <w:spacing w:before="120" w:after="120" w:line="288" w:lineRule="auto"/>
        <w:ind w:left="907"/>
        <w:jc w:val="left"/>
      </w:pPr>
      <w:r>
        <w:rPr>
          <w:rFonts w:eastAsia="等线" w:ascii="Arial" w:cs="Arial" w:hAnsi="Arial"/>
          <w:sz w:val="22"/>
        </w:rPr>
        <w:t>节点不会将各自获取的原始数据全部提交到链上。相反，它们在链下使用 OCR 协议进行高效的通信、数据共享和加密验证。它们会根据预设的聚合算法（例如，取所有节点报告数据中的位数）共同计算出一个</w:t>
      </w:r>
      <w:r>
        <w:rPr>
          <w:rFonts w:eastAsia="等线" w:ascii="Arial" w:cs="Arial" w:hAnsi="Arial"/>
          <w:b w:val="true"/>
          <w:sz w:val="22"/>
        </w:rPr>
        <w:t>聚合结果</w:t>
      </w:r>
      <w:r>
        <w:rPr>
          <w:rFonts w:eastAsia="等线" w:ascii="Arial" w:cs="Arial" w:hAnsi="Arial"/>
          <w:sz w:val="22"/>
        </w:rPr>
        <w:t>。</w:t>
      </w:r>
    </w:p>
    <w:p>
      <w:pPr>
        <w:numPr>
          <w:numId w:val="132"/>
        </w:numPr>
        <w:spacing w:before="120" w:after="120" w:line="288" w:lineRule="auto"/>
        <w:ind w:left="453"/>
        <w:jc w:val="left"/>
      </w:pPr>
      <w:r>
        <w:rPr>
          <w:rFonts w:eastAsia="等线" w:ascii="Arial" w:cs="Arial" w:hAnsi="Arial"/>
          <w:b w:val="true"/>
          <w:sz w:val="22"/>
        </w:rPr>
        <w:t>阈值签名</w:t>
      </w:r>
    </w:p>
    <w:p>
      <w:pPr>
        <w:spacing w:before="120" w:after="120" w:line="288" w:lineRule="auto"/>
        <w:ind w:left="907"/>
        <w:jc w:val="left"/>
      </w:pPr>
      <w:r>
        <w:rPr>
          <w:rFonts w:eastAsia="等线" w:ascii="Arial" w:cs="Arial" w:hAnsi="Arial"/>
          <w:sz w:val="22"/>
        </w:rPr>
        <w:t>DON 中的大多数节点必须对这个聚合结果达成一致，并使用各自的私钥对结果进行签名。只有当达到预设的</w:t>
      </w:r>
      <w:r>
        <w:rPr>
          <w:rFonts w:eastAsia="等线" w:ascii="Arial" w:cs="Arial" w:hAnsi="Arial"/>
          <w:b w:val="true"/>
          <w:sz w:val="22"/>
        </w:rPr>
        <w:t>阈值数量</w:t>
      </w:r>
      <w:r>
        <w:rPr>
          <w:rFonts w:eastAsia="等线" w:ascii="Arial" w:cs="Arial" w:hAnsi="Arial"/>
          <w:sz w:val="22"/>
        </w:rPr>
        <w:t>的节点签名（例如，如果一个 DON 有 21 个节点，可能需要 15 个节点签名）时，这个聚合结果才被认为是有效的。</w:t>
      </w:r>
    </w:p>
    <w:p>
      <w:pPr>
        <w:numPr>
          <w:numId w:val="133"/>
        </w:numPr>
        <w:spacing w:before="120" w:after="120" w:line="288" w:lineRule="auto"/>
        <w:ind w:left="453"/>
        <w:jc w:val="left"/>
      </w:pPr>
      <w:r>
        <w:rPr>
          <w:rFonts w:eastAsia="等线" w:ascii="Arial" w:cs="Arial" w:hAnsi="Arial"/>
          <w:b w:val="true"/>
          <w:sz w:val="22"/>
        </w:rPr>
        <w:t>单一链上报告</w:t>
      </w:r>
    </w:p>
    <w:p>
      <w:pPr>
        <w:spacing w:before="120" w:after="120" w:line="288" w:lineRule="auto"/>
        <w:ind w:left="907"/>
        <w:jc w:val="left"/>
      </w:pPr>
      <w:r>
        <w:rPr>
          <w:rFonts w:eastAsia="等线" w:ascii="Arial" w:cs="Arial" w:hAnsi="Arial"/>
          <w:sz w:val="22"/>
        </w:rPr>
        <w:t>最终，由 DON 中的一个节点（通常是轮流选出的领导者）将这个经多方签名的聚合结果一次性提交到链上。这大大降低了 Gas 成本，并提高了数据更新的频率。</w:t>
      </w:r>
    </w:p>
    <w:p>
      <w:pPr>
        <w:numPr>
          <w:numId w:val="134"/>
        </w:numPr>
        <w:spacing w:before="120" w:after="120" w:line="288" w:lineRule="auto"/>
        <w:ind w:left="0"/>
        <w:jc w:val="left"/>
      </w:pPr>
      <w:r>
        <w:rPr>
          <w:rFonts w:eastAsia="等线" w:ascii="Arial" w:cs="Arial" w:hAnsi="Arial"/>
          <w:b w:val="true"/>
          <w:sz w:val="22"/>
        </w:rPr>
        <w:t>OCR</w:t>
      </w:r>
      <w:r>
        <w:rPr>
          <w:rFonts w:eastAsia="等线" w:ascii="Arial" w:cs="Arial" w:hAnsi="Arial"/>
          <w:sz w:val="22"/>
        </w:rPr>
        <w:t>（</w:t>
      </w:r>
      <w:r>
        <w:rPr>
          <w:rFonts w:eastAsia="等线" w:ascii="Arial" w:cs="Arial" w:hAnsi="Arial"/>
          <w:b w:val="true"/>
          <w:sz w:val="22"/>
        </w:rPr>
        <w:t>Off-Chain Reporting</w:t>
      </w:r>
      <w:r>
        <w:rPr>
          <w:rFonts w:eastAsia="等线" w:ascii="Arial" w:cs="Arial" w:hAnsi="Arial"/>
          <w:sz w:val="22"/>
        </w:rPr>
        <w:t>）</w:t>
      </w:r>
    </w:p>
    <w:p>
      <w:pPr>
        <w:spacing w:before="120" w:after="120" w:line="288" w:lineRule="auto"/>
        <w:ind w:left="453"/>
        <w:jc w:val="left"/>
      </w:pPr>
      <w:r>
        <w:rPr>
          <w:rFonts w:eastAsia="等线" w:ascii="Arial" w:cs="Arial" w:hAnsi="Arial"/>
          <w:sz w:val="22"/>
        </w:rPr>
        <w:t>Chainlink 2.0 引入的链下共识机制，节点在链下完成数据验证和聚合，仅将最终结果上链。这降低了 Gas 费用，提高了性能和可扩展性。</w:t>
      </w:r>
    </w:p>
    <w:p>
      <w:pPr>
        <w:pStyle w:val="1"/>
        <w:spacing w:before="380" w:after="140" w:line="288" w:lineRule="auto"/>
        <w:ind w:left="0"/>
        <w:jc w:val="left"/>
        <w:outlineLvl w:val="0"/>
      </w:pPr>
      <w:bookmarkStart w:name="heading_20" w:id="20"/>
      <w:r>
        <w:rPr>
          <w:rFonts w:eastAsia="等线" w:ascii="Arial" w:cs="Arial" w:hAnsi="Arial"/>
          <w:b w:val="true"/>
          <w:sz w:val="36"/>
        </w:rPr>
        <w:t>Pyth</w:t>
      </w:r>
      <w:bookmarkEnd w:id="20"/>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100"/>
        <w:gridCol w:w="2715"/>
        <w:gridCol w:w="3450"/>
      </w:tblGrid>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特征</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Chainlink</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Pyth Network</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数据来源</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第三方数据聚合商、API，通过节点运营商传输</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第一方金融机构、交易所、做市商直接提供</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更新模型</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推模型 (Push Model)，基于阈值/心跳更新</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拉模型 (Pull Model)，高频实时数据，按需拉取</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延迟</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相对较高（几秒到几分钟）</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极低延迟（亚秒级）</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跨链</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多链原生部署，通过 CCIP 实现通用跨链通信</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Pythnet 聚合，通过 Wormhole 等协议分发至多条链</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数据范围</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广泛（金融、物联网、体育、天气等）</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专注于机构级金融市场数据</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主要目标</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Web3 通用预言机基础设施，提供多样化数据和计算服务</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为高频、低延迟的 DeFi 金融应用提供实时市场数据</w:t>
            </w:r>
          </w:p>
        </w:tc>
      </w:tr>
      <w:tr>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信任模型</w:t>
            </w:r>
          </w:p>
        </w:tc>
        <w:tc>
          <w:tcPr>
            <w:tcW w:w="27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去中心化节点网络、声誉、经济激励、数据聚合</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第一方数据提供商的经济动机、信心区间、Pythnet 聚合</w:t>
            </w:r>
          </w:p>
        </w:tc>
      </w:tr>
    </w:tbl>
    <w:p>
      <w:pPr>
        <w:spacing w:before="120" w:after="120" w:line="288" w:lineRule="auto"/>
        <w:ind w:left="0"/>
        <w:jc w:val="left"/>
      </w:pPr>
    </w:p>
    <w:sectPr>
      <w:footerReference w:type="default" r:id="rId3"/>
      <w:headerReference w:type="default" r:id="rId2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71844">
    <w:lvl>
      <w:numFmt w:val="bullet"/>
      <w:suff w:val="tab"/>
      <w:lvlText w:val="•"/>
      <w:rPr>
        <w:color w:val="3370ff"/>
      </w:rPr>
    </w:lvl>
  </w:abstractNum>
  <w:abstractNum w:abstractNumId="271845">
    <w:lvl>
      <w:numFmt w:val="bullet"/>
      <w:suff w:val="tab"/>
      <w:lvlText w:val="•"/>
      <w:rPr>
        <w:color w:val="3370ff"/>
      </w:rPr>
    </w:lvl>
  </w:abstractNum>
  <w:abstractNum w:abstractNumId="271846">
    <w:lvl>
      <w:numFmt w:val="bullet"/>
      <w:suff w:val="tab"/>
      <w:lvlText w:val="•"/>
      <w:rPr>
        <w:color w:val="3370ff"/>
      </w:rPr>
    </w:lvl>
  </w:abstractNum>
  <w:abstractNum w:abstractNumId="271847">
    <w:lvl>
      <w:numFmt w:val="bullet"/>
      <w:suff w:val="tab"/>
      <w:lvlText w:val="•"/>
      <w:rPr>
        <w:color w:val="3370ff"/>
      </w:rPr>
    </w:lvl>
  </w:abstractNum>
  <w:abstractNum w:abstractNumId="271848">
    <w:lvl>
      <w:numFmt w:val="bullet"/>
      <w:suff w:val="tab"/>
      <w:lvlText w:val="•"/>
      <w:rPr>
        <w:color w:val="3370ff"/>
      </w:rPr>
    </w:lvl>
  </w:abstractNum>
  <w:abstractNum w:abstractNumId="271849">
    <w:lvl>
      <w:numFmt w:val="bullet"/>
      <w:suff w:val="tab"/>
      <w:lvlText w:val="•"/>
      <w:rPr>
        <w:color w:val="3370ff"/>
      </w:rPr>
    </w:lvl>
  </w:abstractNum>
  <w:abstractNum w:abstractNumId="271850">
    <w:lvl>
      <w:numFmt w:val="bullet"/>
      <w:suff w:val="tab"/>
      <w:lvlText w:val="•"/>
      <w:rPr>
        <w:color w:val="3370ff"/>
      </w:rPr>
    </w:lvl>
  </w:abstractNum>
  <w:abstractNum w:abstractNumId="271851">
    <w:lvl>
      <w:numFmt w:val="bullet"/>
      <w:suff w:val="tab"/>
      <w:lvlText w:val="•"/>
      <w:rPr>
        <w:color w:val="3370ff"/>
      </w:rPr>
    </w:lvl>
  </w:abstractNum>
  <w:abstractNum w:abstractNumId="271852">
    <w:lvl>
      <w:numFmt w:val="bullet"/>
      <w:suff w:val="tab"/>
      <w:lvlText w:val="￮"/>
      <w:rPr>
        <w:color w:val="3370ff"/>
      </w:rPr>
    </w:lvl>
  </w:abstractNum>
  <w:abstractNum w:abstractNumId="271853">
    <w:lvl>
      <w:numFmt w:val="bullet"/>
      <w:suff w:val="tab"/>
      <w:lvlText w:val="￮"/>
      <w:rPr>
        <w:color w:val="3370ff"/>
      </w:rPr>
    </w:lvl>
  </w:abstractNum>
  <w:abstractNum w:abstractNumId="271854">
    <w:lvl>
      <w:numFmt w:val="bullet"/>
      <w:suff w:val="tab"/>
      <w:lvlText w:val="￮"/>
      <w:rPr>
        <w:color w:val="3370ff"/>
      </w:rPr>
    </w:lvl>
  </w:abstractNum>
  <w:abstractNum w:abstractNumId="271855">
    <w:lvl>
      <w:numFmt w:val="bullet"/>
      <w:suff w:val="tab"/>
      <w:lvlText w:val="•"/>
      <w:rPr>
        <w:color w:val="3370ff"/>
      </w:rPr>
    </w:lvl>
  </w:abstractNum>
  <w:abstractNum w:abstractNumId="271856">
    <w:lvl>
      <w:numFmt w:val="bullet"/>
      <w:suff w:val="tab"/>
      <w:lvlText w:val="￮"/>
      <w:rPr>
        <w:color w:val="3370ff"/>
      </w:rPr>
    </w:lvl>
  </w:abstractNum>
  <w:abstractNum w:abstractNumId="271857">
    <w:lvl>
      <w:numFmt w:val="bullet"/>
      <w:suff w:val="tab"/>
      <w:lvlText w:val="￮"/>
      <w:rPr>
        <w:color w:val="3370ff"/>
      </w:rPr>
    </w:lvl>
  </w:abstractNum>
  <w:abstractNum w:abstractNumId="271858">
    <w:lvl>
      <w:numFmt w:val="bullet"/>
      <w:suff w:val="tab"/>
      <w:lvlText w:val="•"/>
      <w:rPr>
        <w:color w:val="3370ff"/>
      </w:rPr>
    </w:lvl>
  </w:abstractNum>
  <w:abstractNum w:abstractNumId="271859">
    <w:lvl>
      <w:numFmt w:val="bullet"/>
      <w:suff w:val="tab"/>
      <w:lvlText w:val="•"/>
      <w:rPr>
        <w:color w:val="3370ff"/>
      </w:rPr>
    </w:lvl>
  </w:abstractNum>
  <w:abstractNum w:abstractNumId="271860">
    <w:lvl>
      <w:numFmt w:val="bullet"/>
      <w:suff w:val="tab"/>
      <w:lvlText w:val="•"/>
      <w:rPr>
        <w:color w:val="3370ff"/>
      </w:rPr>
    </w:lvl>
  </w:abstractNum>
  <w:abstractNum w:abstractNumId="271861">
    <w:lvl>
      <w:numFmt w:val="bullet"/>
      <w:suff w:val="tab"/>
      <w:lvlText w:val="•"/>
      <w:rPr>
        <w:color w:val="3370ff"/>
      </w:rPr>
    </w:lvl>
  </w:abstractNum>
  <w:abstractNum w:abstractNumId="271862">
    <w:lvl>
      <w:numFmt w:val="bullet"/>
      <w:suff w:val="tab"/>
      <w:lvlText w:val="•"/>
      <w:rPr>
        <w:color w:val="3370ff"/>
      </w:rPr>
    </w:lvl>
  </w:abstractNum>
  <w:abstractNum w:abstractNumId="271863">
    <w:lvl>
      <w:numFmt w:val="bullet"/>
      <w:suff w:val="tab"/>
      <w:lvlText w:val="•"/>
      <w:rPr>
        <w:color w:val="3370ff"/>
      </w:rPr>
    </w:lvl>
  </w:abstractNum>
  <w:abstractNum w:abstractNumId="271864">
    <w:lvl>
      <w:numFmt w:val="bullet"/>
      <w:suff w:val="tab"/>
      <w:lvlText w:val="•"/>
      <w:rPr>
        <w:color w:val="3370ff"/>
      </w:rPr>
    </w:lvl>
  </w:abstractNum>
  <w:abstractNum w:abstractNumId="271865">
    <w:lvl>
      <w:numFmt w:val="bullet"/>
      <w:suff w:val="tab"/>
      <w:lvlText w:val="•"/>
      <w:rPr>
        <w:color w:val="3370ff"/>
      </w:rPr>
    </w:lvl>
  </w:abstractNum>
  <w:abstractNum w:abstractNumId="271866">
    <w:lvl>
      <w:numFmt w:val="bullet"/>
      <w:suff w:val="tab"/>
      <w:lvlText w:val="•"/>
      <w:rPr>
        <w:color w:val="3370ff"/>
      </w:rPr>
    </w:lvl>
  </w:abstractNum>
  <w:abstractNum w:abstractNumId="271867">
    <w:lvl>
      <w:numFmt w:val="bullet"/>
      <w:suff w:val="tab"/>
      <w:lvlText w:val="•"/>
      <w:rPr>
        <w:color w:val="3370ff"/>
      </w:rPr>
    </w:lvl>
  </w:abstractNum>
  <w:abstractNum w:abstractNumId="271868">
    <w:lvl>
      <w:numFmt w:val="bullet"/>
      <w:suff w:val="tab"/>
      <w:lvlText w:val="•"/>
      <w:rPr>
        <w:color w:val="3370ff"/>
      </w:rPr>
    </w:lvl>
  </w:abstractNum>
  <w:abstractNum w:abstractNumId="271869">
    <w:lvl>
      <w:numFmt w:val="bullet"/>
      <w:suff w:val="tab"/>
      <w:lvlText w:val="•"/>
      <w:rPr>
        <w:color w:val="3370ff"/>
      </w:rPr>
    </w:lvl>
  </w:abstractNum>
  <w:abstractNum w:abstractNumId="271870">
    <w:lvl>
      <w:numFmt w:val="bullet"/>
      <w:suff w:val="tab"/>
      <w:lvlText w:val="•"/>
      <w:rPr>
        <w:color w:val="3370ff"/>
      </w:rPr>
    </w:lvl>
  </w:abstractNum>
  <w:abstractNum w:abstractNumId="271871">
    <w:lvl>
      <w:numFmt w:val="bullet"/>
      <w:suff w:val="tab"/>
      <w:lvlText w:val="•"/>
      <w:rPr>
        <w:color w:val="3370ff"/>
      </w:rPr>
    </w:lvl>
  </w:abstractNum>
  <w:abstractNum w:abstractNumId="271872">
    <w:lvl>
      <w:numFmt w:val="bullet"/>
      <w:suff w:val="tab"/>
      <w:lvlText w:val="•"/>
      <w:rPr>
        <w:color w:val="3370ff"/>
      </w:rPr>
    </w:lvl>
  </w:abstractNum>
  <w:abstractNum w:abstractNumId="271873">
    <w:lvl>
      <w:numFmt w:val="bullet"/>
      <w:suff w:val="tab"/>
      <w:lvlText w:val="•"/>
      <w:rPr>
        <w:color w:val="3370ff"/>
      </w:rPr>
    </w:lvl>
  </w:abstractNum>
  <w:abstractNum w:abstractNumId="271874">
    <w:lvl>
      <w:numFmt w:val="bullet"/>
      <w:suff w:val="tab"/>
      <w:lvlText w:val="￮"/>
      <w:rPr>
        <w:color w:val="3370ff"/>
      </w:rPr>
    </w:lvl>
  </w:abstractNum>
  <w:abstractNum w:abstractNumId="271875">
    <w:lvl>
      <w:numFmt w:val="bullet"/>
      <w:suff w:val="tab"/>
      <w:lvlText w:val="￮"/>
      <w:rPr>
        <w:color w:val="3370ff"/>
      </w:rPr>
    </w:lvl>
  </w:abstractNum>
  <w:abstractNum w:abstractNumId="271876">
    <w:lvl>
      <w:numFmt w:val="bullet"/>
      <w:suff w:val="tab"/>
      <w:lvlText w:val="￮"/>
      <w:rPr>
        <w:color w:val="3370ff"/>
      </w:rPr>
    </w:lvl>
  </w:abstractNum>
  <w:abstractNum w:abstractNumId="271877">
    <w:lvl>
      <w:numFmt w:val="bullet"/>
      <w:suff w:val="tab"/>
      <w:lvlText w:val="•"/>
      <w:rPr>
        <w:color w:val="3370ff"/>
      </w:rPr>
    </w:lvl>
  </w:abstractNum>
  <w:abstractNum w:abstractNumId="271878">
    <w:lvl>
      <w:numFmt w:val="bullet"/>
      <w:suff w:val="tab"/>
      <w:lvlText w:val="•"/>
      <w:rPr>
        <w:color w:val="3370ff"/>
      </w:rPr>
    </w:lvl>
  </w:abstractNum>
  <w:abstractNum w:abstractNumId="271879">
    <w:lvl>
      <w:numFmt w:val="bullet"/>
      <w:suff w:val="tab"/>
      <w:lvlText w:val="•"/>
      <w:rPr>
        <w:color w:val="3370ff"/>
      </w:rPr>
    </w:lvl>
  </w:abstractNum>
  <w:abstractNum w:abstractNumId="271880">
    <w:lvl>
      <w:numFmt w:val="bullet"/>
      <w:suff w:val="tab"/>
      <w:lvlText w:val="￮"/>
      <w:rPr>
        <w:color w:val="3370ff"/>
      </w:rPr>
    </w:lvl>
  </w:abstractNum>
  <w:abstractNum w:abstractNumId="271881">
    <w:lvl>
      <w:numFmt w:val="bullet"/>
      <w:suff w:val="tab"/>
      <w:lvlText w:val="￮"/>
      <w:rPr>
        <w:color w:val="3370ff"/>
      </w:rPr>
    </w:lvl>
  </w:abstractNum>
  <w:abstractNum w:abstractNumId="271882">
    <w:lvl>
      <w:numFmt w:val="bullet"/>
      <w:suff w:val="tab"/>
      <w:lvlText w:val="•"/>
      <w:rPr>
        <w:color w:val="3370ff"/>
      </w:rPr>
    </w:lvl>
  </w:abstractNum>
  <w:abstractNum w:abstractNumId="271883">
    <w:lvl>
      <w:numFmt w:val="bullet"/>
      <w:suff w:val="tab"/>
      <w:lvlText w:val="￮"/>
      <w:rPr>
        <w:color w:val="3370ff"/>
      </w:rPr>
    </w:lvl>
  </w:abstractNum>
  <w:abstractNum w:abstractNumId="271884">
    <w:lvl>
      <w:numFmt w:val="bullet"/>
      <w:suff w:val="tab"/>
      <w:lvlText w:val="￮"/>
      <w:rPr>
        <w:color w:val="3370ff"/>
      </w:rPr>
    </w:lvl>
  </w:abstractNum>
  <w:abstractNum w:abstractNumId="271885">
    <w:lvl>
      <w:numFmt w:val="bullet"/>
      <w:suff w:val="tab"/>
      <w:lvlText w:val="￮"/>
      <w:rPr>
        <w:color w:val="3370ff"/>
      </w:rPr>
    </w:lvl>
  </w:abstractNum>
  <w:abstractNum w:abstractNumId="271886">
    <w:lvl>
      <w:numFmt w:val="bullet"/>
      <w:suff w:val="tab"/>
      <w:lvlText w:val="•"/>
      <w:rPr>
        <w:color w:val="3370ff"/>
      </w:rPr>
    </w:lvl>
  </w:abstractNum>
  <w:abstractNum w:abstractNumId="271887">
    <w:lvl>
      <w:numFmt w:val="bullet"/>
      <w:suff w:val="tab"/>
      <w:lvlText w:val="￮"/>
      <w:rPr>
        <w:color w:val="3370ff"/>
      </w:rPr>
    </w:lvl>
  </w:abstractNum>
  <w:abstractNum w:abstractNumId="271888">
    <w:lvl>
      <w:numFmt w:val="bullet"/>
      <w:suff w:val="tab"/>
      <w:lvlText w:val="￮"/>
      <w:rPr>
        <w:color w:val="3370ff"/>
      </w:rPr>
    </w:lvl>
  </w:abstractNum>
  <w:abstractNum w:abstractNumId="271889">
    <w:lvl>
      <w:numFmt w:val="bullet"/>
      <w:suff w:val="tab"/>
      <w:lvlText w:val="￮"/>
      <w:rPr>
        <w:color w:val="3370ff"/>
      </w:rPr>
    </w:lvl>
  </w:abstractNum>
  <w:abstractNum w:abstractNumId="271890">
    <w:lvl>
      <w:numFmt w:val="bullet"/>
      <w:suff w:val="tab"/>
      <w:lvlText w:val="￮"/>
      <w:rPr>
        <w:color w:val="3370ff"/>
      </w:rPr>
    </w:lvl>
  </w:abstractNum>
  <w:abstractNum w:abstractNumId="271891">
    <w:lvl>
      <w:numFmt w:val="bullet"/>
      <w:suff w:val="tab"/>
      <w:lvlText w:val="￮"/>
      <w:rPr>
        <w:color w:val="3370ff"/>
      </w:rPr>
    </w:lvl>
  </w:abstractNum>
  <w:abstractNum w:abstractNumId="271892">
    <w:lvl>
      <w:numFmt w:val="bullet"/>
      <w:suff w:val="tab"/>
      <w:lvlText w:val="•"/>
      <w:rPr>
        <w:color w:val="3370ff"/>
      </w:rPr>
    </w:lvl>
  </w:abstractNum>
  <w:abstractNum w:abstractNumId="271893">
    <w:lvl>
      <w:numFmt w:val="bullet"/>
      <w:suff w:val="tab"/>
      <w:lvlText w:val="•"/>
      <w:rPr>
        <w:color w:val="3370ff"/>
      </w:rPr>
    </w:lvl>
  </w:abstractNum>
  <w:abstractNum w:abstractNumId="271894">
    <w:lvl>
      <w:numFmt w:val="bullet"/>
      <w:suff w:val="tab"/>
      <w:lvlText w:val="•"/>
      <w:rPr>
        <w:color w:val="3370ff"/>
      </w:rPr>
    </w:lvl>
  </w:abstractNum>
  <w:abstractNum w:abstractNumId="271895">
    <w:lvl>
      <w:numFmt w:val="bullet"/>
      <w:suff w:val="tab"/>
      <w:lvlText w:val="•"/>
      <w:rPr>
        <w:color w:val="3370ff"/>
      </w:rPr>
    </w:lvl>
  </w:abstractNum>
  <w:abstractNum w:abstractNumId="271896">
    <w:lvl>
      <w:numFmt w:val="bullet"/>
      <w:suff w:val="tab"/>
      <w:lvlText w:val="•"/>
      <w:rPr>
        <w:color w:val="3370ff"/>
      </w:rPr>
    </w:lvl>
  </w:abstractNum>
  <w:abstractNum w:abstractNumId="271897">
    <w:lvl>
      <w:numFmt w:val="bullet"/>
      <w:suff w:val="tab"/>
      <w:lvlText w:val="￮"/>
      <w:rPr>
        <w:color w:val="3370ff"/>
      </w:rPr>
    </w:lvl>
  </w:abstractNum>
  <w:abstractNum w:abstractNumId="271898">
    <w:lvl>
      <w:numFmt w:val="bullet"/>
      <w:suff w:val="tab"/>
      <w:lvlText w:val="▪"/>
      <w:rPr>
        <w:color w:val="3370ff"/>
        <w:sz w:val="11"/>
      </w:rPr>
    </w:lvl>
  </w:abstractNum>
  <w:abstractNum w:abstractNumId="271899">
    <w:lvl>
      <w:numFmt w:val="bullet"/>
      <w:suff w:val="tab"/>
      <w:lvlText w:val="￮"/>
      <w:rPr>
        <w:color w:val="3370ff"/>
      </w:rPr>
    </w:lvl>
  </w:abstractNum>
  <w:abstractNum w:abstractNumId="271900">
    <w:lvl>
      <w:numFmt w:val="bullet"/>
      <w:suff w:val="tab"/>
      <w:lvlText w:val="▪"/>
      <w:rPr>
        <w:color w:val="3370ff"/>
        <w:sz w:val="11"/>
      </w:rPr>
    </w:lvl>
  </w:abstractNum>
  <w:abstractNum w:abstractNumId="271901">
    <w:lvl>
      <w:numFmt w:val="bullet"/>
      <w:suff w:val="tab"/>
      <w:lvlText w:val="•"/>
      <w:rPr>
        <w:color w:val="3370ff"/>
      </w:rPr>
    </w:lvl>
  </w:abstractNum>
  <w:abstractNum w:abstractNumId="271902">
    <w:lvl>
      <w:numFmt w:val="bullet"/>
      <w:suff w:val="tab"/>
      <w:lvlText w:val="•"/>
      <w:rPr>
        <w:color w:val="3370ff"/>
      </w:rPr>
    </w:lvl>
  </w:abstractNum>
  <w:abstractNum w:abstractNumId="271903">
    <w:lvl>
      <w:numFmt w:val="bullet"/>
      <w:suff w:val="tab"/>
      <w:lvlText w:val="▪"/>
      <w:rPr>
        <w:color w:val="3370ff"/>
        <w:sz w:val="11"/>
      </w:rPr>
    </w:lvl>
  </w:abstractNum>
  <w:abstractNum w:abstractNumId="271904">
    <w:lvl>
      <w:numFmt w:val="bullet"/>
      <w:suff w:val="tab"/>
      <w:lvlText w:val="•"/>
      <w:rPr>
        <w:color w:val="3370ff"/>
      </w:rPr>
    </w:lvl>
  </w:abstractNum>
  <w:abstractNum w:abstractNumId="271905">
    <w:lvl>
      <w:numFmt w:val="bullet"/>
      <w:suff w:val="tab"/>
      <w:lvlText w:val="•"/>
      <w:rPr>
        <w:color w:val="3370ff"/>
      </w:rPr>
    </w:lvl>
  </w:abstractNum>
  <w:abstractNum w:abstractNumId="271906">
    <w:lvl>
      <w:numFmt w:val="bullet"/>
      <w:suff w:val="tab"/>
      <w:lvlText w:val="▪"/>
      <w:rPr>
        <w:color w:val="3370ff"/>
        <w:sz w:val="11"/>
      </w:rPr>
    </w:lvl>
  </w:abstractNum>
  <w:abstractNum w:abstractNumId="271907">
    <w:lvl>
      <w:numFmt w:val="bullet"/>
      <w:suff w:val="tab"/>
      <w:lvlText w:val="•"/>
      <w:rPr>
        <w:color w:val="3370ff"/>
      </w:rPr>
    </w:lvl>
  </w:abstractNum>
  <w:abstractNum w:abstractNumId="271908">
    <w:lvl>
      <w:numFmt w:val="bullet"/>
      <w:suff w:val="tab"/>
      <w:lvlText w:val="•"/>
      <w:rPr>
        <w:color w:val="3370ff"/>
      </w:rPr>
    </w:lvl>
  </w:abstractNum>
  <w:abstractNum w:abstractNumId="271909">
    <w:lvl>
      <w:numFmt w:val="bullet"/>
      <w:suff w:val="tab"/>
      <w:lvlText w:val="￮"/>
      <w:rPr>
        <w:color w:val="3370ff"/>
      </w:rPr>
    </w:lvl>
  </w:abstractNum>
  <w:abstractNum w:abstractNumId="271910">
    <w:lvl>
      <w:numFmt w:val="bullet"/>
      <w:suff w:val="tab"/>
      <w:lvlText w:val="￮"/>
      <w:rPr>
        <w:color w:val="3370ff"/>
      </w:rPr>
    </w:lvl>
  </w:abstractNum>
  <w:abstractNum w:abstractNumId="271911">
    <w:lvl>
      <w:numFmt w:val="bullet"/>
      <w:suff w:val="tab"/>
      <w:lvlText w:val="▪"/>
      <w:rPr>
        <w:color w:val="3370ff"/>
        <w:sz w:val="11"/>
      </w:rPr>
    </w:lvl>
  </w:abstractNum>
  <w:abstractNum w:abstractNumId="271912">
    <w:lvl>
      <w:numFmt w:val="bullet"/>
      <w:suff w:val="tab"/>
      <w:lvlText w:val="•"/>
      <w:rPr>
        <w:color w:val="3370ff"/>
      </w:rPr>
    </w:lvl>
  </w:abstractNum>
  <w:abstractNum w:abstractNumId="271913">
    <w:lvl>
      <w:numFmt w:val="bullet"/>
      <w:suff w:val="tab"/>
      <w:lvlText w:val="•"/>
      <w:rPr>
        <w:color w:val="3370ff"/>
      </w:rPr>
    </w:lvl>
  </w:abstractNum>
  <w:abstractNum w:abstractNumId="271914">
    <w:lvl>
      <w:numFmt w:val="bullet"/>
      <w:suff w:val="tab"/>
      <w:lvlText w:val="￮"/>
      <w:rPr>
        <w:color w:val="3370ff"/>
      </w:rPr>
    </w:lvl>
  </w:abstractNum>
  <w:abstractNum w:abstractNumId="271915">
    <w:lvl>
      <w:numFmt w:val="bullet"/>
      <w:suff w:val="tab"/>
      <w:lvlText w:val="￮"/>
      <w:rPr>
        <w:color w:val="3370ff"/>
      </w:rPr>
    </w:lvl>
  </w:abstractNum>
  <w:abstractNum w:abstractNumId="271916">
    <w:lvl>
      <w:numFmt w:val="bullet"/>
      <w:suff w:val="tab"/>
      <w:lvlText w:val="￮"/>
      <w:rPr>
        <w:color w:val="3370ff"/>
      </w:rPr>
    </w:lvl>
  </w:abstractNum>
  <w:abstractNum w:abstractNumId="271917">
    <w:lvl>
      <w:numFmt w:val="bullet"/>
      <w:suff w:val="tab"/>
      <w:lvlText w:val="•"/>
      <w:rPr>
        <w:color w:val="3370ff"/>
      </w:rPr>
    </w:lvl>
  </w:abstractNum>
  <w:abstractNum w:abstractNumId="271918">
    <w:lvl>
      <w:numFmt w:val="bullet"/>
      <w:suff w:val="tab"/>
      <w:lvlText w:val="￮"/>
      <w:rPr>
        <w:color w:val="3370ff"/>
      </w:rPr>
    </w:lvl>
  </w:abstractNum>
  <w:abstractNum w:abstractNumId="271919">
    <w:lvl>
      <w:numFmt w:val="bullet"/>
      <w:suff w:val="tab"/>
      <w:lvlText w:val="￮"/>
      <w:rPr>
        <w:color w:val="3370ff"/>
      </w:rPr>
    </w:lvl>
  </w:abstractNum>
  <w:abstractNum w:abstractNumId="271920">
    <w:lvl>
      <w:numFmt w:val="bullet"/>
      <w:suff w:val="tab"/>
      <w:lvlText w:val="▪"/>
      <w:rPr>
        <w:color w:val="3370ff"/>
        <w:sz w:val="11"/>
      </w:rPr>
    </w:lvl>
  </w:abstractNum>
  <w:abstractNum w:abstractNumId="271921">
    <w:lvl>
      <w:numFmt w:val="bullet"/>
      <w:suff w:val="tab"/>
      <w:lvlText w:val="▪"/>
      <w:rPr>
        <w:color w:val="3370ff"/>
        <w:sz w:val="11"/>
      </w:rPr>
    </w:lvl>
  </w:abstractNum>
  <w:abstractNum w:abstractNumId="271922">
    <w:lvl>
      <w:numFmt w:val="bullet"/>
      <w:suff w:val="tab"/>
      <w:lvlText w:val="▪"/>
      <w:rPr>
        <w:color w:val="3370ff"/>
        <w:sz w:val="11"/>
      </w:rPr>
    </w:lvl>
  </w:abstractNum>
  <w:abstractNum w:abstractNumId="271923">
    <w:lvl>
      <w:numFmt w:val="bullet"/>
      <w:suff w:val="tab"/>
      <w:lvlText w:val="•"/>
      <w:rPr>
        <w:color w:val="3370ff"/>
      </w:rPr>
    </w:lvl>
  </w:abstractNum>
  <w:abstractNum w:abstractNumId="271924">
    <w:lvl>
      <w:numFmt w:val="bullet"/>
      <w:suff w:val="tab"/>
      <w:lvlText w:val="￮"/>
      <w:rPr>
        <w:color w:val="3370ff"/>
      </w:rPr>
    </w:lvl>
  </w:abstractNum>
  <w:abstractNum w:abstractNumId="271925">
    <w:lvl>
      <w:numFmt w:val="bullet"/>
      <w:suff w:val="tab"/>
      <w:lvlText w:val="￮"/>
      <w:rPr>
        <w:color w:val="3370ff"/>
      </w:rPr>
    </w:lvl>
  </w:abstractNum>
  <w:abstractNum w:abstractNumId="271926">
    <w:lvl>
      <w:numFmt w:val="bullet"/>
      <w:suff w:val="tab"/>
      <w:lvlText w:val="￮"/>
      <w:rPr>
        <w:color w:val="3370ff"/>
      </w:rPr>
    </w:lvl>
  </w:abstractNum>
  <w:abstractNum w:abstractNumId="271927">
    <w:lvl>
      <w:numFmt w:val="bullet"/>
      <w:suff w:val="tab"/>
      <w:lvlText w:val="￮"/>
      <w:rPr>
        <w:color w:val="3370ff"/>
      </w:rPr>
    </w:lvl>
  </w:abstractNum>
  <w:abstractNum w:abstractNumId="271928">
    <w:lvl>
      <w:numFmt w:val="bullet"/>
      <w:suff w:val="tab"/>
      <w:lvlText w:val="•"/>
      <w:rPr>
        <w:color w:val="3370ff"/>
      </w:rPr>
    </w:lvl>
  </w:abstractNum>
  <w:abstractNum w:abstractNumId="271929">
    <w:lvl>
      <w:numFmt w:val="bullet"/>
      <w:suff w:val="tab"/>
      <w:lvlText w:val="•"/>
      <w:rPr>
        <w:color w:val="3370ff"/>
      </w:rPr>
    </w:lvl>
  </w:abstractNum>
  <w:abstractNum w:abstractNumId="271930">
    <w:lvl>
      <w:numFmt w:val="bullet"/>
      <w:suff w:val="tab"/>
      <w:lvlText w:val="•"/>
      <w:rPr>
        <w:color w:val="3370ff"/>
      </w:rPr>
    </w:lvl>
  </w:abstractNum>
  <w:abstractNum w:abstractNumId="271931">
    <w:lvl>
      <w:numFmt w:val="bullet"/>
      <w:suff w:val="tab"/>
      <w:lvlText w:val="•"/>
      <w:rPr>
        <w:color w:val="3370ff"/>
      </w:rPr>
    </w:lvl>
  </w:abstractNum>
  <w:abstractNum w:abstractNumId="271932">
    <w:lvl>
      <w:numFmt w:val="bullet"/>
      <w:suff w:val="tab"/>
      <w:lvlText w:val="•"/>
      <w:rPr>
        <w:color w:val="3370ff"/>
      </w:rPr>
    </w:lvl>
  </w:abstractNum>
  <w:abstractNum w:abstractNumId="271933">
    <w:lvl>
      <w:numFmt w:val="bullet"/>
      <w:suff w:val="tab"/>
      <w:lvlText w:val="•"/>
      <w:rPr>
        <w:color w:val="3370ff"/>
      </w:rPr>
    </w:lvl>
  </w:abstractNum>
  <w:abstractNum w:abstractNumId="271934">
    <w:lvl>
      <w:numFmt w:val="bullet"/>
      <w:suff w:val="tab"/>
      <w:lvlText w:val="•"/>
      <w:rPr>
        <w:color w:val="3370ff"/>
      </w:rPr>
    </w:lvl>
  </w:abstractNum>
  <w:abstractNum w:abstractNumId="271935">
    <w:lvl>
      <w:numFmt w:val="bullet"/>
      <w:suff w:val="tab"/>
      <w:lvlText w:val="￮"/>
      <w:rPr>
        <w:color w:val="3370ff"/>
      </w:rPr>
    </w:lvl>
  </w:abstractNum>
  <w:abstractNum w:abstractNumId="271936">
    <w:lvl>
      <w:numFmt w:val="bullet"/>
      <w:suff w:val="tab"/>
      <w:lvlText w:val="▪"/>
      <w:rPr>
        <w:color w:val="3370ff"/>
        <w:sz w:val="11"/>
      </w:rPr>
    </w:lvl>
  </w:abstractNum>
  <w:abstractNum w:abstractNumId="271937">
    <w:lvl>
      <w:numFmt w:val="bullet"/>
      <w:suff w:val="tab"/>
      <w:lvlText w:val="•"/>
      <w:rPr>
        <w:color w:val="3370ff"/>
      </w:rPr>
    </w:lvl>
  </w:abstractNum>
  <w:abstractNum w:abstractNumId="271938">
    <w:lvl>
      <w:numFmt w:val="bullet"/>
      <w:suff w:val="tab"/>
      <w:lvlText w:val="▪"/>
      <w:rPr>
        <w:color w:val="3370ff"/>
        <w:sz w:val="11"/>
      </w:rPr>
    </w:lvl>
  </w:abstractNum>
  <w:abstractNum w:abstractNumId="271939">
    <w:lvl>
      <w:numFmt w:val="bullet"/>
      <w:suff w:val="tab"/>
      <w:lvlText w:val="▪"/>
      <w:rPr>
        <w:color w:val="3370ff"/>
        <w:sz w:val="11"/>
      </w:rPr>
    </w:lvl>
  </w:abstractNum>
  <w:abstractNum w:abstractNumId="271940">
    <w:lvl>
      <w:numFmt w:val="bullet"/>
      <w:suff w:val="tab"/>
      <w:lvlText w:val="•"/>
      <w:rPr>
        <w:color w:val="3370ff"/>
      </w:rPr>
    </w:lvl>
  </w:abstractNum>
  <w:abstractNum w:abstractNumId="271941">
    <w:lvl>
      <w:numFmt w:val="bullet"/>
      <w:suff w:val="tab"/>
      <w:lvlText w:val="•"/>
      <w:rPr>
        <w:color w:val="3370ff"/>
      </w:rPr>
    </w:lvl>
  </w:abstractNum>
  <w:abstractNum w:abstractNumId="271942">
    <w:lvl>
      <w:numFmt w:val="bullet"/>
      <w:suff w:val="tab"/>
      <w:lvlText w:val="￮"/>
      <w:rPr>
        <w:color w:val="3370ff"/>
      </w:rPr>
    </w:lvl>
  </w:abstractNum>
  <w:abstractNum w:abstractNumId="271943">
    <w:lvl>
      <w:numFmt w:val="bullet"/>
      <w:suff w:val="tab"/>
      <w:lvlText w:val="▪"/>
      <w:rPr>
        <w:color w:val="3370ff"/>
        <w:sz w:val="11"/>
      </w:rPr>
    </w:lvl>
  </w:abstractNum>
  <w:abstractNum w:abstractNumId="271944">
    <w:lvl>
      <w:numFmt w:val="bullet"/>
      <w:suff w:val="tab"/>
      <w:lvlText w:val="▪"/>
      <w:rPr>
        <w:color w:val="3370ff"/>
        <w:sz w:val="11"/>
      </w:rPr>
    </w:lvl>
  </w:abstractNum>
  <w:abstractNum w:abstractNumId="271945">
    <w:lvl>
      <w:numFmt w:val="bullet"/>
      <w:suff w:val="tab"/>
      <w:lvlText w:val="￮"/>
      <w:rPr>
        <w:color w:val="3370ff"/>
      </w:rPr>
    </w:lvl>
  </w:abstractNum>
  <w:abstractNum w:abstractNumId="271946">
    <w:lvl>
      <w:start w:val="1"/>
      <w:numFmt w:val="lowerRoman"/>
      <w:suff w:val="tab"/>
      <w:lvlText w:val="%1."/>
      <w:rPr>
        <w:color w:val="3370ff"/>
      </w:rPr>
    </w:lvl>
  </w:abstractNum>
  <w:abstractNum w:abstractNumId="271947">
    <w:lvl>
      <w:start w:val="2"/>
      <w:numFmt w:val="lowerRoman"/>
      <w:suff w:val="tab"/>
      <w:lvlText w:val="%1."/>
      <w:rPr>
        <w:color w:val="3370ff"/>
      </w:rPr>
    </w:lvl>
  </w:abstractNum>
  <w:abstractNum w:abstractNumId="271948">
    <w:lvl>
      <w:start w:val="3"/>
      <w:numFmt w:val="lowerRoman"/>
      <w:suff w:val="tab"/>
      <w:lvlText w:val="%1."/>
      <w:rPr>
        <w:color w:val="3370ff"/>
      </w:rPr>
    </w:lvl>
  </w:abstractNum>
  <w:abstractNum w:abstractNumId="271949">
    <w:lvl>
      <w:start w:val="1"/>
      <w:numFmt w:val="decimal"/>
      <w:suff w:val="tab"/>
      <w:lvlText w:val="%1."/>
      <w:rPr>
        <w:color w:val="3370ff"/>
      </w:rPr>
    </w:lvl>
  </w:abstractNum>
  <w:abstractNum w:abstractNumId="271950">
    <w:lvl>
      <w:start w:val="2"/>
      <w:numFmt w:val="decimal"/>
      <w:suff w:val="tab"/>
      <w:lvlText w:val="%1."/>
      <w:rPr>
        <w:color w:val="3370ff"/>
      </w:rPr>
    </w:lvl>
  </w:abstractNum>
  <w:abstractNum w:abstractNumId="271951">
    <w:lvl>
      <w:start w:val="4"/>
      <w:numFmt w:val="lowerRoman"/>
      <w:suff w:val="tab"/>
      <w:lvlText w:val="%1."/>
      <w:rPr>
        <w:color w:val="3370ff"/>
      </w:rPr>
    </w:lvl>
  </w:abstractNum>
  <w:abstractNum w:abstractNumId="271952">
    <w:lvl>
      <w:numFmt w:val="bullet"/>
      <w:suff w:val="tab"/>
      <w:lvlText w:val="•"/>
      <w:rPr>
        <w:color w:val="3370ff"/>
      </w:rPr>
    </w:lvl>
  </w:abstractNum>
  <w:abstractNum w:abstractNumId="271953">
    <w:lvl>
      <w:numFmt w:val="bullet"/>
      <w:suff w:val="tab"/>
      <w:lvlText w:val="•"/>
      <w:rPr>
        <w:color w:val="3370ff"/>
      </w:rPr>
    </w:lvl>
  </w:abstractNum>
  <w:abstractNum w:abstractNumId="271954">
    <w:lvl>
      <w:numFmt w:val="bullet"/>
      <w:suff w:val="tab"/>
      <w:lvlText w:val="•"/>
      <w:rPr>
        <w:color w:val="3370ff"/>
      </w:rPr>
    </w:lvl>
  </w:abstractNum>
  <w:abstractNum w:abstractNumId="271955">
    <w:lvl>
      <w:numFmt w:val="bullet"/>
      <w:suff w:val="tab"/>
      <w:lvlText w:val="￮"/>
      <w:rPr>
        <w:color w:val="3370ff"/>
      </w:rPr>
    </w:lvl>
  </w:abstractNum>
  <w:abstractNum w:abstractNumId="271956">
    <w:lvl>
      <w:numFmt w:val="bullet"/>
      <w:suff w:val="tab"/>
      <w:lvlText w:val="￮"/>
      <w:rPr>
        <w:color w:val="3370ff"/>
      </w:rPr>
    </w:lvl>
  </w:abstractNum>
  <w:abstractNum w:abstractNumId="271957">
    <w:lvl>
      <w:numFmt w:val="bullet"/>
      <w:suff w:val="tab"/>
      <w:lvlText w:val="￮"/>
      <w:rPr>
        <w:color w:val="3370ff"/>
      </w:rPr>
    </w:lvl>
  </w:abstractNum>
  <w:abstractNum w:abstractNumId="271958">
    <w:lvl>
      <w:numFmt w:val="bullet"/>
      <w:suff w:val="tab"/>
      <w:lvlText w:val="￮"/>
      <w:rPr>
        <w:color w:val="3370ff"/>
      </w:rPr>
    </w:lvl>
  </w:abstractNum>
  <w:abstractNum w:abstractNumId="271959">
    <w:lvl>
      <w:start w:val="5"/>
      <w:numFmt w:val="lowerRoman"/>
      <w:suff w:val="tab"/>
      <w:lvlText w:val="%1."/>
      <w:rPr>
        <w:color w:val="3370ff"/>
      </w:rPr>
    </w:lvl>
  </w:abstractNum>
  <w:abstractNum w:abstractNumId="271960">
    <w:lvl>
      <w:numFmt w:val="bullet"/>
      <w:suff w:val="tab"/>
      <w:lvlText w:val="￮"/>
      <w:rPr>
        <w:color w:val="3370ff"/>
      </w:rPr>
    </w:lvl>
  </w:abstractNum>
  <w:abstractNum w:abstractNumId="271961">
    <w:lvl>
      <w:numFmt w:val="bullet"/>
      <w:suff w:val="tab"/>
      <w:lvlText w:val="▪"/>
      <w:rPr>
        <w:color w:val="3370ff"/>
        <w:sz w:val="11"/>
      </w:rPr>
    </w:lvl>
  </w:abstractNum>
  <w:abstractNum w:abstractNumId="271962">
    <w:lvl>
      <w:numFmt w:val="bullet"/>
      <w:suff w:val="tab"/>
      <w:lvlText w:val="▪"/>
      <w:rPr>
        <w:color w:val="3370ff"/>
        <w:sz w:val="11"/>
      </w:rPr>
    </w:lvl>
  </w:abstractNum>
  <w:abstractNum w:abstractNumId="271963">
    <w:lvl>
      <w:numFmt w:val="bullet"/>
      <w:suff w:val="tab"/>
      <w:lvlText w:val="•"/>
      <w:rPr>
        <w:color w:val="3370ff"/>
      </w:rPr>
    </w:lvl>
  </w:abstractNum>
  <w:abstractNum w:abstractNumId="271964">
    <w:lvl>
      <w:numFmt w:val="bullet"/>
      <w:suff w:val="tab"/>
      <w:lvlText w:val="•"/>
      <w:rPr>
        <w:color w:val="3370ff"/>
      </w:rPr>
    </w:lvl>
  </w:abstractNum>
  <w:abstractNum w:abstractNumId="271965">
    <w:lvl>
      <w:numFmt w:val="bullet"/>
      <w:suff w:val="tab"/>
      <w:lvlText w:val="￮"/>
      <w:rPr>
        <w:color w:val="3370ff"/>
      </w:rPr>
    </w:lvl>
  </w:abstractNum>
  <w:abstractNum w:abstractNumId="271966">
    <w:lvl>
      <w:numFmt w:val="bullet"/>
      <w:suff w:val="tab"/>
      <w:lvlText w:val="￮"/>
      <w:rPr>
        <w:color w:val="3370ff"/>
      </w:rPr>
    </w:lvl>
  </w:abstractNum>
  <w:abstractNum w:abstractNumId="271967">
    <w:lvl>
      <w:numFmt w:val="bullet"/>
      <w:suff w:val="tab"/>
      <w:lvlText w:val="•"/>
      <w:rPr>
        <w:color w:val="3370ff"/>
      </w:rPr>
    </w:lvl>
  </w:abstractNum>
  <w:abstractNum w:abstractNumId="271968">
    <w:lvl>
      <w:numFmt w:val="bullet"/>
      <w:suff w:val="tab"/>
      <w:lvlText w:val="•"/>
      <w:rPr>
        <w:color w:val="3370ff"/>
      </w:rPr>
    </w:lvl>
  </w:abstractNum>
  <w:abstractNum w:abstractNumId="271969">
    <w:lvl>
      <w:numFmt w:val="bullet"/>
      <w:suff w:val="tab"/>
      <w:lvlText w:val="￮"/>
      <w:rPr>
        <w:color w:val="3370ff"/>
      </w:rPr>
    </w:lvl>
  </w:abstractNum>
  <w:abstractNum w:abstractNumId="271970">
    <w:lvl>
      <w:numFmt w:val="bullet"/>
      <w:suff w:val="tab"/>
      <w:lvlText w:val="￮"/>
      <w:rPr>
        <w:color w:val="3370ff"/>
      </w:rPr>
    </w:lvl>
  </w:abstractNum>
  <w:abstractNum w:abstractNumId="271971">
    <w:lvl>
      <w:numFmt w:val="bullet"/>
      <w:suff w:val="tab"/>
      <w:lvlText w:val="￮"/>
      <w:rPr>
        <w:color w:val="3370ff"/>
      </w:rPr>
    </w:lvl>
  </w:abstractNum>
  <w:abstractNum w:abstractNumId="271972">
    <w:lvl>
      <w:numFmt w:val="bullet"/>
      <w:suff w:val="tab"/>
      <w:lvlText w:val="•"/>
      <w:rPr>
        <w:color w:val="3370ff"/>
      </w:rPr>
    </w:lvl>
  </w:abstractNum>
  <w:abstractNum w:abstractNumId="271973">
    <w:lvl>
      <w:numFmt w:val="bullet"/>
      <w:suff w:val="tab"/>
      <w:lvlText w:val="￮"/>
      <w:rPr>
        <w:color w:val="3370ff"/>
      </w:rPr>
    </w:lvl>
  </w:abstractNum>
  <w:abstractNum w:abstractNumId="271974">
    <w:lvl>
      <w:numFmt w:val="bullet"/>
      <w:suff w:val="tab"/>
      <w:lvlText w:val="￮"/>
      <w:rPr>
        <w:color w:val="3370ff"/>
      </w:rPr>
    </w:lvl>
  </w:abstractNum>
  <w:abstractNum w:abstractNumId="271975">
    <w:lvl>
      <w:numFmt w:val="bullet"/>
      <w:suff w:val="tab"/>
      <w:lvlText w:val="￮"/>
      <w:rPr>
        <w:color w:val="3370ff"/>
      </w:rPr>
    </w:lvl>
  </w:abstractNum>
  <w:abstractNum w:abstractNumId="271976">
    <w:lvl>
      <w:numFmt w:val="bullet"/>
      <w:suff w:val="tab"/>
      <w:lvlText w:val="￮"/>
      <w:rPr>
        <w:color w:val="3370ff"/>
      </w:rPr>
    </w:lvl>
  </w:abstractNum>
  <w:abstractNum w:abstractNumId="271977">
    <w:lvl>
      <w:numFmt w:val="bullet"/>
      <w:suff w:val="tab"/>
      <w:lvlText w:val="•"/>
      <w:rPr>
        <w:color w:val="3370ff"/>
      </w:rPr>
    </w:lvl>
  </w:abstractNum>
  <w:num w:numId="1">
    <w:abstractNumId w:val="271844"/>
  </w:num>
  <w:num w:numId="2">
    <w:abstractNumId w:val="271845"/>
  </w:num>
  <w:num w:numId="3">
    <w:abstractNumId w:val="271846"/>
  </w:num>
  <w:num w:numId="4">
    <w:abstractNumId w:val="271847"/>
  </w:num>
  <w:num w:numId="5">
    <w:abstractNumId w:val="271848"/>
  </w:num>
  <w:num w:numId="6">
    <w:abstractNumId w:val="271849"/>
  </w:num>
  <w:num w:numId="7">
    <w:abstractNumId w:val="271850"/>
  </w:num>
  <w:num w:numId="8">
    <w:abstractNumId w:val="271851"/>
  </w:num>
  <w:num w:numId="9">
    <w:abstractNumId w:val="271852"/>
  </w:num>
  <w:num w:numId="10">
    <w:abstractNumId w:val="271853"/>
  </w:num>
  <w:num w:numId="11">
    <w:abstractNumId w:val="271854"/>
  </w:num>
  <w:num w:numId="12">
    <w:abstractNumId w:val="271855"/>
  </w:num>
  <w:num w:numId="13">
    <w:abstractNumId w:val="271856"/>
  </w:num>
  <w:num w:numId="14">
    <w:abstractNumId w:val="271857"/>
  </w:num>
  <w:num w:numId="15">
    <w:abstractNumId w:val="271858"/>
  </w:num>
  <w:num w:numId="16">
    <w:abstractNumId w:val="271859"/>
  </w:num>
  <w:num w:numId="17">
    <w:abstractNumId w:val="271860"/>
  </w:num>
  <w:num w:numId="18">
    <w:abstractNumId w:val="271861"/>
  </w:num>
  <w:num w:numId="19">
    <w:abstractNumId w:val="271862"/>
  </w:num>
  <w:num w:numId="20">
    <w:abstractNumId w:val="271863"/>
  </w:num>
  <w:num w:numId="21">
    <w:abstractNumId w:val="271864"/>
  </w:num>
  <w:num w:numId="22">
    <w:abstractNumId w:val="271865"/>
  </w:num>
  <w:num w:numId="23">
    <w:abstractNumId w:val="271866"/>
  </w:num>
  <w:num w:numId="24">
    <w:abstractNumId w:val="271867"/>
  </w:num>
  <w:num w:numId="25">
    <w:abstractNumId w:val="271868"/>
  </w:num>
  <w:num w:numId="26">
    <w:abstractNumId w:val="271869"/>
  </w:num>
  <w:num w:numId="27">
    <w:abstractNumId w:val="271870"/>
  </w:num>
  <w:num w:numId="28">
    <w:abstractNumId w:val="271871"/>
  </w:num>
  <w:num w:numId="29">
    <w:abstractNumId w:val="271872"/>
  </w:num>
  <w:num w:numId="30">
    <w:abstractNumId w:val="271873"/>
  </w:num>
  <w:num w:numId="31">
    <w:abstractNumId w:val="271874"/>
  </w:num>
  <w:num w:numId="32">
    <w:abstractNumId w:val="271875"/>
  </w:num>
  <w:num w:numId="33">
    <w:abstractNumId w:val="271876"/>
  </w:num>
  <w:num w:numId="34">
    <w:abstractNumId w:val="271877"/>
  </w:num>
  <w:num w:numId="35">
    <w:abstractNumId w:val="271878"/>
  </w:num>
  <w:num w:numId="36">
    <w:abstractNumId w:val="271879"/>
  </w:num>
  <w:num w:numId="37">
    <w:abstractNumId w:val="271880"/>
  </w:num>
  <w:num w:numId="38">
    <w:abstractNumId w:val="271881"/>
  </w:num>
  <w:num w:numId="39">
    <w:abstractNumId w:val="271882"/>
  </w:num>
  <w:num w:numId="40">
    <w:abstractNumId w:val="271883"/>
  </w:num>
  <w:num w:numId="41">
    <w:abstractNumId w:val="271884"/>
  </w:num>
  <w:num w:numId="42">
    <w:abstractNumId w:val="271885"/>
  </w:num>
  <w:num w:numId="43">
    <w:abstractNumId w:val="271886"/>
  </w:num>
  <w:num w:numId="44">
    <w:abstractNumId w:val="271887"/>
  </w:num>
  <w:num w:numId="45">
    <w:abstractNumId w:val="271888"/>
  </w:num>
  <w:num w:numId="46">
    <w:abstractNumId w:val="271889"/>
  </w:num>
  <w:num w:numId="47">
    <w:abstractNumId w:val="271890"/>
  </w:num>
  <w:num w:numId="48">
    <w:abstractNumId w:val="271891"/>
  </w:num>
  <w:num w:numId="49">
    <w:abstractNumId w:val="271892"/>
  </w:num>
  <w:num w:numId="50">
    <w:abstractNumId w:val="271893"/>
  </w:num>
  <w:num w:numId="51">
    <w:abstractNumId w:val="271894"/>
  </w:num>
  <w:num w:numId="52">
    <w:abstractNumId w:val="271895"/>
  </w:num>
  <w:num w:numId="53">
    <w:abstractNumId w:val="271896"/>
  </w:num>
  <w:num w:numId="54">
    <w:abstractNumId w:val="271897"/>
  </w:num>
  <w:num w:numId="55">
    <w:abstractNumId w:val="271898"/>
  </w:num>
  <w:num w:numId="56">
    <w:abstractNumId w:val="271899"/>
  </w:num>
  <w:num w:numId="57">
    <w:abstractNumId w:val="271900"/>
  </w:num>
  <w:num w:numId="58">
    <w:abstractNumId w:val="271901"/>
  </w:num>
  <w:num w:numId="59">
    <w:abstractNumId w:val="271902"/>
  </w:num>
  <w:num w:numId="60">
    <w:abstractNumId w:val="271903"/>
  </w:num>
  <w:num w:numId="61">
    <w:abstractNumId w:val="271904"/>
  </w:num>
  <w:num w:numId="62">
    <w:abstractNumId w:val="271905"/>
  </w:num>
  <w:num w:numId="63">
    <w:abstractNumId w:val="271906"/>
  </w:num>
  <w:num w:numId="64">
    <w:abstractNumId w:val="271907"/>
  </w:num>
  <w:num w:numId="65">
    <w:abstractNumId w:val="271908"/>
  </w:num>
  <w:num w:numId="66">
    <w:abstractNumId w:val="271909"/>
  </w:num>
  <w:num w:numId="67">
    <w:abstractNumId w:val="271910"/>
  </w:num>
  <w:num w:numId="68">
    <w:abstractNumId w:val="271911"/>
  </w:num>
  <w:num w:numId="69">
    <w:abstractNumId w:val="271912"/>
  </w:num>
  <w:num w:numId="70">
    <w:abstractNumId w:val="271913"/>
  </w:num>
  <w:num w:numId="71">
    <w:abstractNumId w:val="271914"/>
  </w:num>
  <w:num w:numId="72">
    <w:abstractNumId w:val="271915"/>
  </w:num>
  <w:num w:numId="73">
    <w:abstractNumId w:val="271916"/>
  </w:num>
  <w:num w:numId="74">
    <w:abstractNumId w:val="271917"/>
  </w:num>
  <w:num w:numId="75">
    <w:abstractNumId w:val="271918"/>
  </w:num>
  <w:num w:numId="76">
    <w:abstractNumId w:val="271919"/>
  </w:num>
  <w:num w:numId="77">
    <w:abstractNumId w:val="271920"/>
  </w:num>
  <w:num w:numId="78">
    <w:abstractNumId w:val="271921"/>
  </w:num>
  <w:num w:numId="79">
    <w:abstractNumId w:val="271922"/>
  </w:num>
  <w:num w:numId="80">
    <w:abstractNumId w:val="271923"/>
  </w:num>
  <w:num w:numId="81">
    <w:abstractNumId w:val="271924"/>
  </w:num>
  <w:num w:numId="82">
    <w:abstractNumId w:val="271925"/>
  </w:num>
  <w:num w:numId="83">
    <w:abstractNumId w:val="271926"/>
  </w:num>
  <w:num w:numId="84">
    <w:abstractNumId w:val="271927"/>
  </w:num>
  <w:num w:numId="85">
    <w:abstractNumId w:val="271928"/>
  </w:num>
  <w:num w:numId="86">
    <w:abstractNumId w:val="271929"/>
  </w:num>
  <w:num w:numId="87">
    <w:abstractNumId w:val="271930"/>
  </w:num>
  <w:num w:numId="88">
    <w:abstractNumId w:val="271931"/>
  </w:num>
  <w:num w:numId="89">
    <w:abstractNumId w:val="271932"/>
  </w:num>
  <w:num w:numId="90">
    <w:abstractNumId w:val="271933"/>
  </w:num>
  <w:num w:numId="91">
    <w:abstractNumId w:val="271934"/>
  </w:num>
  <w:num w:numId="92">
    <w:abstractNumId w:val="271935"/>
  </w:num>
  <w:num w:numId="93">
    <w:abstractNumId w:val="271936"/>
  </w:num>
  <w:num w:numId="94">
    <w:abstractNumId w:val="271937"/>
  </w:num>
  <w:num w:numId="95">
    <w:abstractNumId w:val="271938"/>
  </w:num>
  <w:num w:numId="96">
    <w:abstractNumId w:val="271939"/>
  </w:num>
  <w:num w:numId="97">
    <w:abstractNumId w:val="271940"/>
  </w:num>
  <w:num w:numId="98">
    <w:abstractNumId w:val="271941"/>
  </w:num>
  <w:num w:numId="99">
    <w:abstractNumId w:val="271942"/>
  </w:num>
  <w:num w:numId="100">
    <w:abstractNumId w:val="271943"/>
  </w:num>
  <w:num w:numId="101">
    <w:abstractNumId w:val="271944"/>
  </w:num>
  <w:num w:numId="102">
    <w:abstractNumId w:val="271945"/>
  </w:num>
  <w:num w:numId="103">
    <w:abstractNumId w:val="271946"/>
  </w:num>
  <w:num w:numId="104">
    <w:abstractNumId w:val="271947"/>
  </w:num>
  <w:num w:numId="105">
    <w:abstractNumId w:val="271948"/>
  </w:num>
  <w:num w:numId="106">
    <w:abstractNumId w:val="271949"/>
  </w:num>
  <w:num w:numId="107">
    <w:abstractNumId w:val="271950"/>
  </w:num>
  <w:num w:numId="108">
    <w:abstractNumId w:val="271951"/>
  </w:num>
  <w:num w:numId="109">
    <w:abstractNumId w:val="271952"/>
  </w:num>
  <w:num w:numId="110">
    <w:abstractNumId w:val="271953"/>
  </w:num>
  <w:num w:numId="111">
    <w:abstractNumId w:val="271954"/>
  </w:num>
  <w:num w:numId="112">
    <w:abstractNumId w:val="271955"/>
  </w:num>
  <w:num w:numId="113">
    <w:abstractNumId w:val="271956"/>
  </w:num>
  <w:num w:numId="114">
    <w:abstractNumId w:val="271957"/>
  </w:num>
  <w:num w:numId="115">
    <w:abstractNumId w:val="271958"/>
  </w:num>
  <w:num w:numId="116">
    <w:abstractNumId w:val="271959"/>
  </w:num>
  <w:num w:numId="117">
    <w:abstractNumId w:val="271960"/>
  </w:num>
  <w:num w:numId="118">
    <w:abstractNumId w:val="271961"/>
  </w:num>
  <w:num w:numId="119">
    <w:abstractNumId w:val="271962"/>
  </w:num>
  <w:num w:numId="120">
    <w:abstractNumId w:val="271963"/>
  </w:num>
  <w:num w:numId="121">
    <w:abstractNumId w:val="271964"/>
  </w:num>
  <w:num w:numId="122">
    <w:abstractNumId w:val="271965"/>
  </w:num>
  <w:num w:numId="123">
    <w:abstractNumId w:val="271966"/>
  </w:num>
  <w:num w:numId="124">
    <w:abstractNumId w:val="271967"/>
  </w:num>
  <w:num w:numId="125">
    <w:abstractNumId w:val="271968"/>
  </w:num>
  <w:num w:numId="126">
    <w:abstractNumId w:val="271969"/>
  </w:num>
  <w:num w:numId="127">
    <w:abstractNumId w:val="271970"/>
  </w:num>
  <w:num w:numId="128">
    <w:abstractNumId w:val="271971"/>
  </w:num>
  <w:num w:numId="129">
    <w:abstractNumId w:val="271972"/>
  </w:num>
  <w:num w:numId="130">
    <w:abstractNumId w:val="271973"/>
  </w:num>
  <w:num w:numId="131">
    <w:abstractNumId w:val="271974"/>
  </w:num>
  <w:num w:numId="132">
    <w:abstractNumId w:val="271975"/>
  </w:num>
  <w:num w:numId="133">
    <w:abstractNumId w:val="271976"/>
  </w:num>
  <w:num w:numId="134">
    <w:abstractNumId w:val="27197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chain.link/" TargetMode="External" Type="http://schemas.openxmlformats.org/officeDocument/2006/relationships/hyperlink"/><Relationship Id="rId11" Target="media/image5.png" Type="http://schemas.openxmlformats.org/officeDocument/2006/relationships/image"/><Relationship Id="rId12" Target="media/image6.png" Type="http://schemas.openxmlformats.org/officeDocument/2006/relationships/image"/><Relationship Id="rId13" Target="https://defillama.com/protocol/chainlink" TargetMode="External" Type="http://schemas.openxmlformats.org/officeDocument/2006/relationships/hyperlink"/><Relationship Id="rId14" Target="https://data.chain.link/" TargetMode="External" Type="http://schemas.openxmlformats.org/officeDocument/2006/relationships/hyperlink"/><Relationship Id="rId15" Target="https://github.com/smartcontractkit/libocr/blob/master/contract/AccessControlledOffchainAggregator.sol" TargetMode="External" Type="http://schemas.openxmlformats.org/officeDocument/2006/relationships/hyperlink"/><Relationship Id="rId16" Target="media/image7.png" Type="http://schemas.openxmlformats.org/officeDocument/2006/relationships/image"/><Relationship Id="rId17" Target="media/image8.png" Type="http://schemas.openxmlformats.org/officeDocument/2006/relationships/image"/><Relationship Id="rId18" Target="https://data.chain.link/streams" TargetMode="External" Type="http://schemas.openxmlformats.org/officeDocument/2006/relationships/hyperlink"/><Relationship Id="rId19" Target="media/image9.png" Type="http://schemas.openxmlformats.org/officeDocument/2006/relationships/image"/><Relationship Id="rId2" Target="styles.xml" Type="http://schemas.openxmlformats.org/officeDocument/2006/relationships/styles"/><Relationship Id="rId20" Target="media/image10.png" Type="http://schemas.openxmlformats.org/officeDocument/2006/relationships/image"/><Relationship Id="rId21" Target="media/image11.png" Type="http://schemas.openxmlformats.org/officeDocument/2006/relationships/image"/><Relationship Id="rId22" Target="media/image12.png" Type="http://schemas.openxmlformats.org/officeDocument/2006/relationships/image"/><Relationship Id="rId23"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https://defillama.com/oracles" TargetMode="External" Type="http://schemas.openxmlformats.org/officeDocument/2006/relationships/hyperlink"/><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2025-05-22T06:14:36Z</dcterms:created>
  <dc:creator>Apache POI</dc:creator>
</cp:coreProperties>
</file>